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d"/>
        <w:bidiVisual/>
        <w:tblW w:w="8820" w:type="dxa"/>
        <w:tblLook w:val="01E0" w:firstRow="1" w:lastRow="1" w:firstColumn="1" w:lastColumn="1" w:noHBand="0" w:noVBand="0"/>
      </w:tblPr>
      <w:tblGrid>
        <w:gridCol w:w="743"/>
        <w:gridCol w:w="2506"/>
        <w:gridCol w:w="5571"/>
      </w:tblGrid>
      <w:tr w:rsidR="002914D6" w:rsidRPr="005D6649" w:rsidTr="00DA714E">
        <w:tc>
          <w:tcPr>
            <w:tcW w:w="743" w:type="dxa"/>
          </w:tcPr>
          <w:p w:rsidR="002914D6" w:rsidRPr="005D6649" w:rsidRDefault="00011212">
            <w:pPr>
              <w:jc w:val="both"/>
              <w:rPr>
                <w:rFonts w:ascii="Arial" w:hAnsi="Arial"/>
                <w:b/>
                <w:bCs/>
              </w:rPr>
            </w:pPr>
            <w:r w:rsidRPr="005D6649">
              <w:rPr>
                <w:rFonts w:ascii="Arial" w:hAnsi="Arial" w:hint="cs"/>
                <w:b/>
                <w:bCs/>
                <w:rtl/>
              </w:rPr>
              <w:t>ב</w:t>
            </w:r>
            <w:r w:rsidRPr="005D6649">
              <w:rPr>
                <w:rFonts w:ascii="Arial" w:hAnsi="Arial"/>
                <w:b/>
                <w:bCs/>
                <w:rtl/>
              </w:rPr>
              <w:t xml:space="preserve">פני </w:t>
            </w:r>
          </w:p>
        </w:tc>
        <w:tc>
          <w:tcPr>
            <w:tcW w:w="8077" w:type="dxa"/>
            <w:gridSpan w:val="2"/>
          </w:tcPr>
          <w:p w:rsidR="002914D6" w:rsidRPr="005D6649" w:rsidRDefault="00011212">
            <w:pPr>
              <w:rPr>
                <w:rFonts w:ascii="Arial" w:hAnsi="Arial"/>
                <w:b/>
                <w:bCs/>
                <w:rtl/>
              </w:rPr>
            </w:pPr>
            <w:r w:rsidRPr="005D6649">
              <w:rPr>
                <w:rFonts w:ascii="Arial" w:hAnsi="Arial" w:hint="cs"/>
                <w:b/>
                <w:bCs/>
                <w:rtl/>
              </w:rPr>
              <w:t>כב' ה</w:t>
            </w:r>
            <w:sdt>
              <w:sdtPr>
                <w:rPr>
                  <w:rtl/>
                </w:rPr>
                <w:alias w:val="1574"/>
                <w:tag w:val="1574"/>
                <w:id w:val="157807208"/>
                <w:text w:multiLine="1"/>
              </w:sdtPr>
              <w:sdtEndPr/>
              <w:sdtContent>
                <w:r w:rsidRPr="005D6649">
                  <w:rPr>
                    <w:rFonts w:ascii="Arial" w:hAnsi="Arial"/>
                    <w:b/>
                    <w:bCs/>
                    <w:rtl/>
                  </w:rPr>
                  <w:t>רשמת בכירה</w:t>
                </w:r>
              </w:sdtContent>
            </w:sdt>
            <w:r w:rsidRPr="005D6649">
              <w:rPr>
                <w:rFonts w:ascii="Arial" w:hAnsi="Arial" w:hint="cs"/>
                <w:b/>
                <w:bCs/>
                <w:rtl/>
              </w:rPr>
              <w:t xml:space="preserve">  </w:t>
            </w:r>
            <w:sdt>
              <w:sdtPr>
                <w:rPr>
                  <w:rtl/>
                </w:rPr>
                <w:alias w:val="1573"/>
                <w:tag w:val="1573"/>
                <w:id w:val="-137115570"/>
                <w:text w:multiLine="1"/>
              </w:sdtPr>
              <w:sdtEndPr/>
              <w:sdtContent>
                <w:r w:rsidRPr="005D6649">
                  <w:rPr>
                    <w:rFonts w:ascii="Arial" w:hAnsi="Arial"/>
                    <w:b/>
                    <w:bCs/>
                    <w:rtl/>
                  </w:rPr>
                  <w:t>ריבי לב אוחיון</w:t>
                </w:r>
              </w:sdtContent>
            </w:sdt>
          </w:p>
          <w:p w:rsidR="002914D6" w:rsidRPr="005D6649" w:rsidRDefault="002914D6">
            <w:pPr>
              <w:rPr>
                <w:rFonts w:ascii="Arial" w:hAnsi="Arial" w:cs="FrankRuehl"/>
                <w:sz w:val="28"/>
                <w:szCs w:val="28"/>
              </w:rPr>
            </w:pPr>
          </w:p>
        </w:tc>
      </w:tr>
      <w:tr w:rsidR="002914D6" w:rsidRPr="005D6649" w:rsidTr="00DA714E">
        <w:tc>
          <w:tcPr>
            <w:tcW w:w="3249" w:type="dxa"/>
            <w:gridSpan w:val="2"/>
          </w:tcPr>
          <w:p w:rsidR="002914D6" w:rsidRPr="005D6649" w:rsidRDefault="002914D6">
            <w:pPr>
              <w:bidi w:val="0"/>
              <w:jc w:val="right"/>
              <w:rPr>
                <w:rFonts w:ascii="Arial" w:hAnsi="Arial"/>
                <w:b/>
                <w:bCs/>
                <w:noProof w:val="0"/>
                <w:sz w:val="26"/>
                <w:szCs w:val="26"/>
              </w:rPr>
            </w:pPr>
          </w:p>
          <w:sdt>
            <w:sdtPr>
              <w:alias w:val="1180"/>
              <w:tag w:val="1180"/>
              <w:id w:val="2064520869"/>
              <w:text w:multiLine="1"/>
            </w:sdtPr>
            <w:sdtEndPr/>
            <w:sdtContent>
              <w:p w:rsidR="004E3930" w:rsidRPr="005D6649" w:rsidRDefault="005D6649" w:rsidP="005D6649">
                <w:pPr>
                  <w:bidi w:val="0"/>
                  <w:jc w:val="right"/>
                  <w:rPr>
                    <w:rFonts w:ascii="Arial" w:hAnsi="Arial"/>
                    <w:b/>
                    <w:bCs/>
                    <w:noProof w:val="0"/>
                    <w:sz w:val="26"/>
                    <w:szCs w:val="26"/>
                    <w:rtl/>
                  </w:rPr>
                </w:pPr>
                <w:r w:rsidRPr="005D6649">
                  <w:rPr>
                    <w:rFonts w:ascii="Arial" w:hAnsi="Arial" w:hint="cs"/>
                    <w:b/>
                    <w:bCs/>
                    <w:noProof w:val="0"/>
                    <w:sz w:val="26"/>
                    <w:szCs w:val="26"/>
                    <w:rtl/>
                  </w:rPr>
                  <w:t>מבקש</w:t>
                </w:r>
                <w:r w:rsidR="00CA2637" w:rsidRPr="005D6649">
                  <w:rPr>
                    <w:rFonts w:ascii="Arial" w:hAnsi="Arial"/>
                    <w:b/>
                    <w:bCs/>
                    <w:noProof w:val="0"/>
                    <w:sz w:val="26"/>
                    <w:szCs w:val="26"/>
                    <w:rtl/>
                  </w:rPr>
                  <w:t>ים</w:t>
                </w:r>
              </w:p>
            </w:sdtContent>
          </w:sdt>
        </w:tc>
        <w:tc>
          <w:tcPr>
            <w:tcW w:w="5571" w:type="dxa"/>
          </w:tcPr>
          <w:p w:rsidR="00B71D13" w:rsidRPr="005D6649" w:rsidRDefault="005F3ABF" w:rsidP="00E72527">
            <w:pPr>
              <w:rPr>
                <w:b/>
                <w:bCs/>
                <w:noProof w:val="0"/>
                <w:sz w:val="26"/>
                <w:szCs w:val="26"/>
                <w:rtl/>
              </w:rPr>
            </w:pPr>
            <w:sdt>
              <w:sdtPr>
                <w:rPr>
                  <w:rtl/>
                </w:rPr>
                <w:alias w:val="1571"/>
                <w:tag w:val="1571"/>
                <w:id w:val="1119420712"/>
                <w:text w:multiLine="1"/>
              </w:sdtPr>
              <w:sdtEndPr/>
              <w:sdtContent>
                <w:r w:rsidR="00B71D13" w:rsidRPr="005D6649">
                  <w:rPr>
                    <w:rFonts w:ascii="Arial" w:hAnsi="Arial"/>
                    <w:b/>
                    <w:bCs/>
                    <w:noProof w:val="0"/>
                    <w:sz w:val="26"/>
                    <w:szCs w:val="26"/>
                    <w:rtl/>
                  </w:rPr>
                  <w:t>1</w:t>
                </w:r>
              </w:sdtContent>
            </w:sdt>
            <w:r w:rsidR="00B71D13" w:rsidRPr="005D6649">
              <w:rPr>
                <w:rFonts w:ascii="Arial" w:hAnsi="Arial"/>
                <w:b/>
                <w:bCs/>
                <w:noProof w:val="0"/>
                <w:sz w:val="26"/>
                <w:szCs w:val="26"/>
                <w:rtl/>
              </w:rPr>
              <w:t xml:space="preserve">. </w:t>
            </w:r>
            <w:sdt>
              <w:sdtPr>
                <w:rPr>
                  <w:rtl/>
                </w:rPr>
                <w:alias w:val="1486"/>
                <w:tag w:val="1486"/>
                <w:id w:val="-1219885928"/>
                <w:text w:multiLine="1"/>
              </w:sdtPr>
              <w:sdtEndPr/>
              <w:sdtContent>
                <w:r w:rsidR="00E72527">
                  <w:rPr>
                    <w:rFonts w:ascii="Arial" w:hAnsi="Arial" w:hint="cs"/>
                    <w:b/>
                    <w:bCs/>
                    <w:noProof w:val="0"/>
                    <w:sz w:val="26"/>
                    <w:szCs w:val="26"/>
                    <w:rtl/>
                  </w:rPr>
                  <w:t>***</w:t>
                </w:r>
                <w:r w:rsidR="00E72527">
                  <w:rPr>
                    <w:rFonts w:ascii="Arial" w:hAnsi="Arial"/>
                    <w:b/>
                    <w:bCs/>
                    <w:noProof w:val="0"/>
                    <w:sz w:val="26"/>
                    <w:szCs w:val="26"/>
                    <w:rtl/>
                  </w:rPr>
                  <w:t xml:space="preserve"> </w:t>
                </w:r>
                <w:r w:rsidR="00E72527">
                  <w:rPr>
                    <w:rFonts w:ascii="Arial" w:hAnsi="Arial" w:hint="cs"/>
                    <w:b/>
                    <w:bCs/>
                    <w:noProof w:val="0"/>
                    <w:sz w:val="26"/>
                    <w:szCs w:val="26"/>
                    <w:rtl/>
                  </w:rPr>
                  <w:t>***</w:t>
                </w:r>
              </w:sdtContent>
            </w:sdt>
            <w:r w:rsidR="00B71D13" w:rsidRPr="005D6649">
              <w:rPr>
                <w:rFonts w:ascii="Arial" w:hAnsi="Arial" w:hint="cs"/>
                <w:b/>
                <w:bCs/>
                <w:noProof w:val="0"/>
                <w:sz w:val="26"/>
                <w:szCs w:val="26"/>
                <w:rtl/>
              </w:rPr>
              <w:t xml:space="preserve"> </w:t>
            </w:r>
            <w:sdt>
              <w:sdtPr>
                <w:rPr>
                  <w:rtl/>
                </w:rPr>
                <w:alias w:val="2317"/>
                <w:tag w:val="2317"/>
                <w:id w:val="-2133776470"/>
                <w:text w:multiLine="1"/>
              </w:sdtPr>
              <w:sdtEndPr/>
              <w:sdtContent>
                <w:r w:rsidR="00B71D13" w:rsidRPr="005D6649">
                  <w:rPr>
                    <w:rFonts w:ascii="Arial" w:hAnsi="Arial"/>
                    <w:b/>
                    <w:bCs/>
                    <w:noProof w:val="0"/>
                    <w:sz w:val="26"/>
                    <w:szCs w:val="26"/>
                    <w:rtl/>
                  </w:rPr>
                  <w:t>ת"ז</w:t>
                </w:r>
              </w:sdtContent>
            </w:sdt>
            <w:r w:rsidR="00B71D13" w:rsidRPr="005D6649">
              <w:rPr>
                <w:rFonts w:ascii="Arial" w:hAnsi="Arial" w:hint="cs"/>
                <w:b/>
                <w:bCs/>
                <w:noProof w:val="0"/>
                <w:sz w:val="26"/>
                <w:szCs w:val="26"/>
                <w:rtl/>
              </w:rPr>
              <w:t xml:space="preserve"> </w:t>
            </w:r>
            <w:sdt>
              <w:sdtPr>
                <w:rPr>
                  <w:rtl/>
                </w:rPr>
                <w:alias w:val="2318"/>
                <w:tag w:val="2318"/>
                <w:id w:val="-282733546"/>
                <w:text w:multiLine="1"/>
              </w:sdtPr>
              <w:sdtEndPr/>
              <w:sdtContent>
                <w:r w:rsidR="00E72527">
                  <w:rPr>
                    <w:rFonts w:ascii="Arial" w:hAnsi="Arial" w:hint="cs"/>
                    <w:b/>
                    <w:bCs/>
                    <w:noProof w:val="0"/>
                    <w:sz w:val="26"/>
                    <w:szCs w:val="26"/>
                    <w:rtl/>
                  </w:rPr>
                  <w:t>********</w:t>
                </w:r>
              </w:sdtContent>
            </w:sdt>
          </w:p>
          <w:p w:rsidR="00B71D13" w:rsidRPr="005D6649" w:rsidRDefault="005F3ABF" w:rsidP="00E72527">
            <w:pPr>
              <w:rPr>
                <w:b/>
                <w:bCs/>
                <w:noProof w:val="0"/>
                <w:sz w:val="26"/>
                <w:szCs w:val="26"/>
                <w:rtl/>
              </w:rPr>
            </w:pPr>
            <w:sdt>
              <w:sdtPr>
                <w:rPr>
                  <w:rtl/>
                </w:rPr>
                <w:alias w:val="1571"/>
                <w:tag w:val="1571"/>
                <w:id w:val="1211769332"/>
                <w:text w:multiLine="1"/>
              </w:sdtPr>
              <w:sdtEndPr/>
              <w:sdtContent>
                <w:r w:rsidR="00B71D13" w:rsidRPr="005D6649">
                  <w:rPr>
                    <w:rFonts w:ascii="Arial" w:hAnsi="Arial"/>
                    <w:b/>
                    <w:bCs/>
                    <w:noProof w:val="0"/>
                    <w:sz w:val="26"/>
                    <w:szCs w:val="26"/>
                    <w:rtl/>
                  </w:rPr>
                  <w:t>2</w:t>
                </w:r>
              </w:sdtContent>
            </w:sdt>
            <w:r w:rsidR="00B71D13" w:rsidRPr="005D6649">
              <w:rPr>
                <w:rFonts w:ascii="Arial" w:hAnsi="Arial"/>
                <w:b/>
                <w:bCs/>
                <w:noProof w:val="0"/>
                <w:sz w:val="26"/>
                <w:szCs w:val="26"/>
                <w:rtl/>
              </w:rPr>
              <w:t xml:space="preserve">. </w:t>
            </w:r>
            <w:sdt>
              <w:sdtPr>
                <w:rPr>
                  <w:rtl/>
                </w:rPr>
                <w:alias w:val="1486"/>
                <w:tag w:val="1486"/>
                <w:id w:val="-761448966"/>
                <w:text w:multiLine="1"/>
              </w:sdtPr>
              <w:sdtEndPr/>
              <w:sdtContent>
                <w:r w:rsidR="00E72527">
                  <w:rPr>
                    <w:rFonts w:ascii="Arial" w:hAnsi="Arial" w:hint="cs"/>
                    <w:b/>
                    <w:bCs/>
                    <w:noProof w:val="0"/>
                    <w:sz w:val="26"/>
                    <w:szCs w:val="26"/>
                    <w:rtl/>
                  </w:rPr>
                  <w:t>**** *****</w:t>
                </w:r>
              </w:sdtContent>
            </w:sdt>
            <w:r w:rsidR="00B71D13" w:rsidRPr="005D6649">
              <w:rPr>
                <w:rFonts w:ascii="Arial" w:hAnsi="Arial" w:hint="cs"/>
                <w:b/>
                <w:bCs/>
                <w:noProof w:val="0"/>
                <w:sz w:val="26"/>
                <w:szCs w:val="26"/>
                <w:rtl/>
              </w:rPr>
              <w:t xml:space="preserve"> </w:t>
            </w:r>
            <w:sdt>
              <w:sdtPr>
                <w:rPr>
                  <w:rtl/>
                </w:rPr>
                <w:alias w:val="2317"/>
                <w:tag w:val="2317"/>
                <w:id w:val="182095215"/>
                <w:text w:multiLine="1"/>
              </w:sdtPr>
              <w:sdtEndPr/>
              <w:sdtContent>
                <w:r w:rsidR="00B71D13" w:rsidRPr="005D6649">
                  <w:rPr>
                    <w:rFonts w:ascii="Arial" w:hAnsi="Arial"/>
                    <w:b/>
                    <w:bCs/>
                    <w:noProof w:val="0"/>
                    <w:sz w:val="26"/>
                    <w:szCs w:val="26"/>
                    <w:rtl/>
                  </w:rPr>
                  <w:t>ת"ז</w:t>
                </w:r>
              </w:sdtContent>
            </w:sdt>
            <w:r w:rsidR="00B71D13" w:rsidRPr="005D6649">
              <w:rPr>
                <w:rFonts w:ascii="Arial" w:hAnsi="Arial" w:hint="cs"/>
                <w:b/>
                <w:bCs/>
                <w:noProof w:val="0"/>
                <w:sz w:val="26"/>
                <w:szCs w:val="26"/>
                <w:rtl/>
              </w:rPr>
              <w:t xml:space="preserve"> </w:t>
            </w:r>
            <w:sdt>
              <w:sdtPr>
                <w:rPr>
                  <w:rtl/>
                </w:rPr>
                <w:alias w:val="2318"/>
                <w:tag w:val="2318"/>
                <w:id w:val="967013248"/>
                <w:text w:multiLine="1"/>
              </w:sdtPr>
              <w:sdtEndPr/>
              <w:sdtContent>
                <w:r w:rsidR="00E72527">
                  <w:rPr>
                    <w:rFonts w:ascii="Arial" w:hAnsi="Arial" w:hint="cs"/>
                    <w:b/>
                    <w:bCs/>
                    <w:noProof w:val="0"/>
                    <w:sz w:val="26"/>
                    <w:szCs w:val="26"/>
                    <w:rtl/>
                  </w:rPr>
                  <w:t>********</w:t>
                </w:r>
              </w:sdtContent>
            </w:sdt>
          </w:p>
          <w:p w:rsidR="002914D6" w:rsidRPr="005D6649" w:rsidRDefault="005F3ABF" w:rsidP="00B71D13">
            <w:pPr>
              <w:rPr>
                <w:rFonts w:ascii="Arial" w:hAnsi="Arial"/>
                <w:b/>
                <w:bCs/>
                <w:noProof w:val="0"/>
                <w:sz w:val="26"/>
                <w:szCs w:val="26"/>
              </w:rPr>
            </w:pPr>
            <w:sdt>
              <w:sdtPr>
                <w:rPr>
                  <w:rtl/>
                </w:rPr>
                <w:alias w:val="1571"/>
                <w:tag w:val="1571"/>
                <w:id w:val="150337117"/>
                <w:text w:multiLine="1"/>
              </w:sdtPr>
              <w:sdtEndPr/>
              <w:sdtContent>
                <w:r w:rsidR="00B71D13" w:rsidRPr="005D6649">
                  <w:rPr>
                    <w:rFonts w:ascii="Arial" w:hAnsi="Arial"/>
                    <w:b/>
                    <w:bCs/>
                    <w:noProof w:val="0"/>
                    <w:sz w:val="26"/>
                    <w:szCs w:val="26"/>
                    <w:rtl/>
                  </w:rPr>
                  <w:t>3</w:t>
                </w:r>
              </w:sdtContent>
            </w:sdt>
            <w:r w:rsidR="00B71D13" w:rsidRPr="005D6649">
              <w:rPr>
                <w:rFonts w:ascii="Arial" w:hAnsi="Arial"/>
                <w:b/>
                <w:bCs/>
                <w:noProof w:val="0"/>
                <w:sz w:val="26"/>
                <w:szCs w:val="26"/>
                <w:rtl/>
              </w:rPr>
              <w:t xml:space="preserve">. </w:t>
            </w:r>
            <w:sdt>
              <w:sdtPr>
                <w:rPr>
                  <w:rtl/>
                </w:rPr>
                <w:alias w:val="1486"/>
                <w:tag w:val="1486"/>
                <w:id w:val="-1057545174"/>
                <w:text w:multiLine="1"/>
              </w:sdtPr>
              <w:sdtEndPr/>
              <w:sdtContent>
                <w:r w:rsidR="00E72527">
                  <w:rPr>
                    <w:rFonts w:ascii="Arial" w:hAnsi="Arial" w:hint="cs"/>
                    <w:b/>
                    <w:bCs/>
                    <w:noProof w:val="0"/>
                    <w:sz w:val="26"/>
                    <w:szCs w:val="26"/>
                    <w:rtl/>
                  </w:rPr>
                  <w:t>******</w:t>
                </w:r>
                <w:r w:rsidR="00E72527">
                  <w:rPr>
                    <w:rFonts w:ascii="Arial" w:hAnsi="Arial"/>
                    <w:b/>
                    <w:bCs/>
                    <w:noProof w:val="0"/>
                    <w:sz w:val="26"/>
                    <w:szCs w:val="26"/>
                    <w:rtl/>
                  </w:rPr>
                  <w:t xml:space="preserve"> </w:t>
                </w:r>
                <w:r w:rsidR="00E72527">
                  <w:rPr>
                    <w:rFonts w:ascii="Arial" w:hAnsi="Arial" w:hint="cs"/>
                    <w:b/>
                    <w:bCs/>
                    <w:noProof w:val="0"/>
                    <w:sz w:val="26"/>
                    <w:szCs w:val="26"/>
                    <w:rtl/>
                  </w:rPr>
                  <w:t>*****</w:t>
                </w:r>
              </w:sdtContent>
            </w:sdt>
            <w:r w:rsidR="00B71D13" w:rsidRPr="005D6649">
              <w:rPr>
                <w:rFonts w:ascii="Arial" w:hAnsi="Arial" w:hint="cs"/>
                <w:b/>
                <w:bCs/>
                <w:noProof w:val="0"/>
                <w:sz w:val="26"/>
                <w:szCs w:val="26"/>
                <w:rtl/>
              </w:rPr>
              <w:t xml:space="preserve"> </w:t>
            </w:r>
            <w:sdt>
              <w:sdtPr>
                <w:rPr>
                  <w:rtl/>
                </w:rPr>
                <w:alias w:val="2317"/>
                <w:tag w:val="2317"/>
                <w:id w:val="-1365054562"/>
                <w:text w:multiLine="1"/>
              </w:sdtPr>
              <w:sdtEndPr/>
              <w:sdtContent>
                <w:r w:rsidR="00B71D13" w:rsidRPr="005D6649">
                  <w:rPr>
                    <w:rFonts w:ascii="Arial" w:hAnsi="Arial"/>
                    <w:b/>
                    <w:bCs/>
                    <w:noProof w:val="0"/>
                    <w:sz w:val="26"/>
                    <w:szCs w:val="26"/>
                    <w:rtl/>
                  </w:rPr>
                  <w:t>ת"ז</w:t>
                </w:r>
              </w:sdtContent>
            </w:sdt>
            <w:r w:rsidR="00B71D13" w:rsidRPr="005D6649">
              <w:rPr>
                <w:rFonts w:ascii="Arial" w:hAnsi="Arial" w:hint="cs"/>
                <w:b/>
                <w:bCs/>
                <w:noProof w:val="0"/>
                <w:sz w:val="26"/>
                <w:szCs w:val="26"/>
                <w:rtl/>
              </w:rPr>
              <w:t xml:space="preserve"> </w:t>
            </w:r>
            <w:r w:rsidR="00E72527">
              <w:rPr>
                <w:rFonts w:ascii="Arial" w:hAnsi="Arial" w:hint="cs"/>
                <w:b/>
                <w:bCs/>
                <w:noProof w:val="0"/>
                <w:sz w:val="26"/>
                <w:szCs w:val="26"/>
                <w:rtl/>
              </w:rPr>
              <w:t>********</w:t>
            </w:r>
          </w:p>
          <w:p w:rsidR="002914D6" w:rsidRPr="005D6649" w:rsidRDefault="002914D6">
            <w:pPr>
              <w:rPr>
                <w:b/>
                <w:bCs/>
                <w:noProof w:val="0"/>
                <w:sz w:val="26"/>
                <w:szCs w:val="26"/>
              </w:rPr>
            </w:pPr>
          </w:p>
        </w:tc>
      </w:tr>
      <w:tr w:rsidR="002914D6" w:rsidRPr="005D6649" w:rsidTr="00DA714E">
        <w:tc>
          <w:tcPr>
            <w:tcW w:w="8820" w:type="dxa"/>
            <w:gridSpan w:val="3"/>
          </w:tcPr>
          <w:p w:rsidR="002914D6" w:rsidRPr="005D6649" w:rsidRDefault="002914D6">
            <w:pPr>
              <w:rPr>
                <w:rFonts w:ascii="Arial" w:hAnsi="Arial"/>
                <w:b/>
                <w:bCs/>
                <w:noProof w:val="0"/>
                <w:sz w:val="26"/>
                <w:szCs w:val="26"/>
                <w:rtl/>
              </w:rPr>
            </w:pPr>
          </w:p>
          <w:p w:rsidR="002914D6" w:rsidRPr="005D6649" w:rsidRDefault="00011212">
            <w:pPr>
              <w:jc w:val="center"/>
              <w:rPr>
                <w:rFonts w:ascii="Arial" w:hAnsi="Arial"/>
                <w:b/>
                <w:bCs/>
                <w:noProof w:val="0"/>
                <w:sz w:val="26"/>
                <w:szCs w:val="26"/>
                <w:rtl/>
              </w:rPr>
            </w:pPr>
            <w:r w:rsidRPr="005D6649">
              <w:rPr>
                <w:rFonts w:ascii="Arial" w:hAnsi="Arial"/>
                <w:b/>
                <w:bCs/>
                <w:noProof w:val="0"/>
                <w:sz w:val="26"/>
                <w:szCs w:val="26"/>
                <w:rtl/>
              </w:rPr>
              <w:t>נגד</w:t>
            </w:r>
          </w:p>
          <w:p w:rsidR="002914D6" w:rsidRPr="005D6649" w:rsidRDefault="002914D6">
            <w:pPr>
              <w:rPr>
                <w:rFonts w:ascii="Arial" w:hAnsi="Arial"/>
                <w:b/>
                <w:bCs/>
                <w:noProof w:val="0"/>
                <w:sz w:val="26"/>
                <w:szCs w:val="26"/>
              </w:rPr>
            </w:pPr>
          </w:p>
        </w:tc>
      </w:tr>
      <w:tr w:rsidR="002914D6" w:rsidRPr="005D6649" w:rsidTr="00DA714E">
        <w:tc>
          <w:tcPr>
            <w:tcW w:w="3249" w:type="dxa"/>
            <w:gridSpan w:val="2"/>
          </w:tcPr>
          <w:p w:rsidR="002914D6" w:rsidRPr="005D6649" w:rsidRDefault="002914D6">
            <w:pPr>
              <w:rPr>
                <w:rFonts w:ascii="Arial" w:hAnsi="Arial"/>
                <w:b/>
                <w:bCs/>
                <w:noProof w:val="0"/>
                <w:sz w:val="26"/>
                <w:szCs w:val="26"/>
                <w:rtl/>
              </w:rPr>
            </w:pPr>
          </w:p>
          <w:p w:rsidR="002914D6" w:rsidRPr="005D6649" w:rsidRDefault="005F3ABF" w:rsidP="005D6649">
            <w:pPr>
              <w:rPr>
                <w:rFonts w:ascii="Arial" w:hAnsi="Arial"/>
                <w:b/>
                <w:bCs/>
                <w:noProof w:val="0"/>
                <w:sz w:val="26"/>
                <w:szCs w:val="26"/>
              </w:rPr>
            </w:pPr>
            <w:sdt>
              <w:sdtPr>
                <w:rPr>
                  <w:rtl/>
                </w:rPr>
                <w:alias w:val="1184"/>
                <w:tag w:val="1184"/>
                <w:id w:val="385841288"/>
                <w:text w:multiLine="1"/>
              </w:sdtPr>
              <w:sdtEndPr/>
              <w:sdtContent>
                <w:r w:rsidR="005D6649" w:rsidRPr="005D6649">
                  <w:rPr>
                    <w:rFonts w:ascii="Arial" w:hAnsi="Arial" w:hint="cs"/>
                    <w:b/>
                    <w:bCs/>
                    <w:noProof w:val="0"/>
                    <w:sz w:val="26"/>
                    <w:szCs w:val="26"/>
                    <w:rtl/>
                  </w:rPr>
                  <w:t>משיב</w:t>
                </w:r>
              </w:sdtContent>
            </w:sdt>
          </w:p>
        </w:tc>
        <w:tc>
          <w:tcPr>
            <w:tcW w:w="5571" w:type="dxa"/>
          </w:tcPr>
          <w:p w:rsidR="005D6649" w:rsidRPr="005D6649" w:rsidRDefault="005D6649" w:rsidP="005D6649">
            <w:pPr>
              <w:rPr>
                <w:rtl/>
              </w:rPr>
            </w:pPr>
          </w:p>
          <w:p w:rsidR="002914D6" w:rsidRPr="005D6649" w:rsidRDefault="005F3ABF" w:rsidP="005D6649">
            <w:pPr>
              <w:rPr>
                <w:rFonts w:ascii="Arial" w:hAnsi="Arial"/>
                <w:b/>
                <w:bCs/>
                <w:noProof w:val="0"/>
                <w:sz w:val="26"/>
                <w:szCs w:val="26"/>
                <w:rtl/>
              </w:rPr>
            </w:pPr>
            <w:sdt>
              <w:sdtPr>
                <w:rPr>
                  <w:rtl/>
                </w:rPr>
                <w:alias w:val="1478"/>
                <w:tag w:val="1478"/>
                <w:id w:val="-2019765730"/>
                <w:text w:multiLine="1"/>
              </w:sdtPr>
              <w:sdtEndPr/>
              <w:sdtContent>
                <w:r w:rsidR="00E72527">
                  <w:rPr>
                    <w:rFonts w:ascii="Arial" w:hAnsi="Arial" w:hint="cs"/>
                    <w:b/>
                    <w:bCs/>
                    <w:noProof w:val="0"/>
                    <w:sz w:val="26"/>
                    <w:szCs w:val="26"/>
                    <w:rtl/>
                  </w:rPr>
                  <w:t>*****</w:t>
                </w:r>
                <w:r w:rsidR="00E72527">
                  <w:rPr>
                    <w:rFonts w:ascii="Arial" w:hAnsi="Arial"/>
                    <w:b/>
                    <w:bCs/>
                    <w:noProof w:val="0"/>
                    <w:sz w:val="26"/>
                    <w:szCs w:val="26"/>
                    <w:rtl/>
                  </w:rPr>
                  <w:t xml:space="preserve"> </w:t>
                </w:r>
                <w:r w:rsidR="00E72527">
                  <w:rPr>
                    <w:rFonts w:ascii="Arial" w:hAnsi="Arial" w:hint="cs"/>
                    <w:b/>
                    <w:bCs/>
                    <w:noProof w:val="0"/>
                    <w:sz w:val="26"/>
                    <w:szCs w:val="26"/>
                    <w:rtl/>
                  </w:rPr>
                  <w:t>***</w:t>
                </w:r>
              </w:sdtContent>
            </w:sdt>
            <w:r w:rsidR="00B71D13" w:rsidRPr="005D6649">
              <w:rPr>
                <w:rFonts w:ascii="Arial" w:hAnsi="Arial" w:hint="cs"/>
                <w:b/>
                <w:bCs/>
                <w:noProof w:val="0"/>
                <w:sz w:val="26"/>
                <w:szCs w:val="26"/>
                <w:rtl/>
              </w:rPr>
              <w:t xml:space="preserve"> </w:t>
            </w:r>
            <w:sdt>
              <w:sdtPr>
                <w:rPr>
                  <w:rtl/>
                </w:rPr>
                <w:alias w:val="2315"/>
                <w:tag w:val="2315"/>
                <w:id w:val="1096443329"/>
                <w:text w:multiLine="1"/>
              </w:sdtPr>
              <w:sdtEndPr/>
              <w:sdtContent>
                <w:r w:rsidR="00B71D13" w:rsidRPr="005D6649">
                  <w:rPr>
                    <w:rFonts w:ascii="Arial" w:hAnsi="Arial"/>
                    <w:b/>
                    <w:bCs/>
                    <w:noProof w:val="0"/>
                    <w:sz w:val="26"/>
                    <w:szCs w:val="26"/>
                    <w:rtl/>
                  </w:rPr>
                  <w:t>ת"ז</w:t>
                </w:r>
              </w:sdtContent>
            </w:sdt>
            <w:r w:rsidR="00B71D13" w:rsidRPr="005D6649">
              <w:rPr>
                <w:rFonts w:ascii="Arial" w:hAnsi="Arial" w:hint="cs"/>
                <w:b/>
                <w:bCs/>
                <w:noProof w:val="0"/>
                <w:sz w:val="26"/>
                <w:szCs w:val="26"/>
                <w:rtl/>
              </w:rPr>
              <w:t xml:space="preserve"> </w:t>
            </w:r>
            <w:sdt>
              <w:sdtPr>
                <w:rPr>
                  <w:rtl/>
                </w:rPr>
                <w:alias w:val="2316"/>
                <w:tag w:val="2316"/>
                <w:id w:val="-119842878"/>
                <w:text w:multiLine="1"/>
              </w:sdtPr>
              <w:sdtEndPr/>
              <w:sdtContent>
                <w:r w:rsidR="00E72527">
                  <w:rPr>
                    <w:rFonts w:ascii="Arial" w:hAnsi="Arial" w:hint="cs"/>
                    <w:b/>
                    <w:bCs/>
                    <w:noProof w:val="0"/>
                    <w:sz w:val="26"/>
                    <w:szCs w:val="26"/>
                    <w:rtl/>
                  </w:rPr>
                  <w:t>********</w:t>
                </w:r>
              </w:sdtContent>
            </w:sdt>
          </w:p>
          <w:p w:rsidR="002914D6" w:rsidRPr="005D6649" w:rsidRDefault="002914D6">
            <w:pPr>
              <w:rPr>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rsidRPr="005D6649">
        <w:trPr>
          <w:jc w:val="center"/>
        </w:trPr>
        <w:tc>
          <w:tcPr>
            <w:tcW w:w="8820" w:type="dxa"/>
          </w:tcPr>
          <w:p w:rsidR="002914D6" w:rsidRPr="005D6649" w:rsidRDefault="002914D6">
            <w:pPr>
              <w:bidi w:val="0"/>
              <w:jc w:val="center"/>
              <w:rPr>
                <w:rFonts w:ascii="Arial" w:hAnsi="Arial"/>
                <w:b/>
                <w:bCs/>
                <w:noProof w:val="0"/>
                <w:sz w:val="26"/>
                <w:szCs w:val="26"/>
              </w:rPr>
            </w:pPr>
          </w:p>
          <w:p w:rsidR="002914D6" w:rsidRPr="005D6649" w:rsidRDefault="00530E94">
            <w:pPr>
              <w:bidi w:val="0"/>
              <w:jc w:val="center"/>
              <w:rPr>
                <w:rFonts w:ascii="Arial" w:hAnsi="Arial"/>
                <w:b/>
                <w:bCs/>
                <w:noProof w:val="0"/>
                <w:sz w:val="28"/>
                <w:szCs w:val="28"/>
                <w:u w:val="single"/>
                <w:rtl/>
              </w:rPr>
            </w:pPr>
            <w:r w:rsidRPr="005D6649">
              <w:rPr>
                <w:rFonts w:ascii="Arial" w:hAnsi="Arial" w:hint="cs"/>
                <w:b/>
                <w:bCs/>
                <w:noProof w:val="0"/>
                <w:sz w:val="28"/>
                <w:szCs w:val="28"/>
                <w:u w:val="single"/>
                <w:rtl/>
              </w:rPr>
              <w:t>החלטה</w:t>
            </w:r>
          </w:p>
          <w:p w:rsidR="005D6649" w:rsidRPr="005D6649" w:rsidRDefault="005D6649" w:rsidP="005D6649">
            <w:pPr>
              <w:bidi w:val="0"/>
              <w:jc w:val="center"/>
              <w:rPr>
                <w:rFonts w:ascii="Arial" w:hAnsi="Arial"/>
                <w:b/>
                <w:bCs/>
                <w:noProof w:val="0"/>
                <w:sz w:val="28"/>
                <w:szCs w:val="28"/>
                <w:u w:val="single"/>
              </w:rPr>
            </w:pPr>
          </w:p>
        </w:tc>
      </w:tr>
    </w:tbl>
    <w:p w:rsidR="005D6649" w:rsidRPr="005D6649" w:rsidRDefault="005D6649" w:rsidP="005D6649">
      <w:pPr>
        <w:pStyle w:val="ae"/>
        <w:numPr>
          <w:ilvl w:val="0"/>
          <w:numId w:val="1"/>
        </w:numPr>
        <w:tabs>
          <w:tab w:val="left" w:pos="708"/>
        </w:tabs>
        <w:ind w:hanging="720"/>
        <w:jc w:val="both"/>
        <w:rPr>
          <w:rFonts w:ascii="Arial" w:hAnsi="Arial"/>
          <w:noProof w:val="0"/>
        </w:rPr>
      </w:pPr>
      <w:r w:rsidRPr="005D6649">
        <w:rPr>
          <w:rFonts w:ascii="Arial" w:hAnsi="Arial"/>
          <w:noProof w:val="0"/>
          <w:rtl/>
        </w:rPr>
        <w:t>לפני בקשה לחיוב המשיב בהפקדת ערובה, בסכום שלא יפחת מ- 30,000 ₪, קרי 10,000 ₪ עבור כל מבקש, אותה מצאתי לקבל אם כי תוך חיוב נמוך מהמבוקש, ואסביר.</w:t>
      </w:r>
    </w:p>
    <w:p w:rsidR="005D6649" w:rsidRPr="005D6649" w:rsidRDefault="005D6649" w:rsidP="005D6649">
      <w:pPr>
        <w:tabs>
          <w:tab w:val="left" w:pos="708"/>
        </w:tabs>
        <w:ind w:left="360" w:hanging="720"/>
        <w:jc w:val="both"/>
        <w:rPr>
          <w:rFonts w:ascii="Arial" w:hAnsi="Arial"/>
          <w:b/>
          <w:bCs/>
          <w:noProof w:val="0"/>
          <w:u w:val="single"/>
        </w:rPr>
      </w:pPr>
    </w:p>
    <w:p w:rsidR="005D6649" w:rsidRPr="005D6649" w:rsidRDefault="005D6649" w:rsidP="00E72527">
      <w:pPr>
        <w:pStyle w:val="ae"/>
        <w:numPr>
          <w:ilvl w:val="0"/>
          <w:numId w:val="1"/>
        </w:numPr>
        <w:tabs>
          <w:tab w:val="left" w:pos="708"/>
        </w:tabs>
        <w:ind w:hanging="720"/>
        <w:jc w:val="both"/>
        <w:rPr>
          <w:rFonts w:ascii="Arial" w:hAnsi="Arial"/>
          <w:noProof w:val="0"/>
        </w:rPr>
      </w:pPr>
      <w:r w:rsidRPr="005D6649">
        <w:rPr>
          <w:rFonts w:ascii="Arial" w:hAnsi="Arial"/>
          <w:noProof w:val="0"/>
          <w:rtl/>
        </w:rPr>
        <w:t xml:space="preserve">המדובר על תביעה כספית לתשלום 283,500 ₪ בטענה של המשיב להשקעה כספית בבניית נכס מקרקעין הממוקם במושב </w:t>
      </w:r>
      <w:r w:rsidR="00E72527">
        <w:rPr>
          <w:rFonts w:ascii="Arial" w:hAnsi="Arial" w:hint="cs"/>
          <w:noProof w:val="0"/>
          <w:rtl/>
        </w:rPr>
        <w:t>****</w:t>
      </w:r>
      <w:r w:rsidR="00E72527">
        <w:rPr>
          <w:rFonts w:ascii="Arial" w:hAnsi="Arial"/>
          <w:noProof w:val="0"/>
          <w:rtl/>
        </w:rPr>
        <w:t xml:space="preserve">, משק </w:t>
      </w:r>
      <w:r w:rsidR="00E72527">
        <w:rPr>
          <w:rFonts w:ascii="Arial" w:hAnsi="Arial" w:hint="cs"/>
          <w:noProof w:val="0"/>
          <w:rtl/>
        </w:rPr>
        <w:t>**</w:t>
      </w:r>
      <w:r w:rsidRPr="005D6649">
        <w:rPr>
          <w:rFonts w:ascii="Arial" w:hAnsi="Arial"/>
          <w:noProof w:val="0"/>
          <w:rtl/>
        </w:rPr>
        <w:t xml:space="preserve">, בו מתגוררים המבקשים 2-3 כברי רשות. לטענת המשיב, המבקש 2 הציע לבניה"ז להשקיע בבניית דירה במשק, היא תהא בבעלותם והם ינהגו בה מנהג בעלים. </w:t>
      </w:r>
    </w:p>
    <w:p w:rsidR="005D6649" w:rsidRPr="005D6649" w:rsidRDefault="005D6649" w:rsidP="005D6649">
      <w:pPr>
        <w:tabs>
          <w:tab w:val="left" w:pos="708"/>
        </w:tabs>
        <w:ind w:hanging="720"/>
        <w:jc w:val="both"/>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Pr>
      </w:pPr>
      <w:r w:rsidRPr="005D6649">
        <w:rPr>
          <w:rFonts w:ascii="Arial" w:hAnsi="Arial"/>
          <w:noProof w:val="0"/>
          <w:rtl/>
        </w:rPr>
        <w:t xml:space="preserve">בהתאם, פנה המבקש 2 אל הגורמים הנדרשים וקיבל היתרי בנייה.  </w:t>
      </w:r>
    </w:p>
    <w:p w:rsidR="005D6649" w:rsidRPr="005D6649" w:rsidRDefault="005D6649" w:rsidP="005D6649">
      <w:pPr>
        <w:pStyle w:val="ae"/>
        <w:tabs>
          <w:tab w:val="left" w:pos="708"/>
        </w:tabs>
        <w:ind w:hanging="720"/>
        <w:jc w:val="both"/>
        <w:rPr>
          <w:rFonts w:ascii="Arial" w:hAnsi="Arial"/>
          <w:noProof w:val="0"/>
        </w:rPr>
      </w:pPr>
      <w:r w:rsidRPr="005D6649">
        <w:rPr>
          <w:rFonts w:ascii="Arial" w:hAnsi="Arial"/>
          <w:noProof w:val="0"/>
          <w:rtl/>
        </w:rPr>
        <w:t xml:space="preserve"> </w:t>
      </w:r>
    </w:p>
    <w:p w:rsidR="005D6649" w:rsidRPr="005D6649" w:rsidRDefault="005D6649" w:rsidP="005D6649">
      <w:pPr>
        <w:pStyle w:val="ae"/>
        <w:numPr>
          <w:ilvl w:val="0"/>
          <w:numId w:val="1"/>
        </w:numPr>
        <w:tabs>
          <w:tab w:val="left" w:pos="708"/>
        </w:tabs>
        <w:ind w:hanging="720"/>
        <w:jc w:val="both"/>
        <w:rPr>
          <w:rFonts w:ascii="Arial" w:hAnsi="Arial"/>
          <w:noProof w:val="0"/>
        </w:rPr>
      </w:pPr>
      <w:r w:rsidRPr="005D6649">
        <w:rPr>
          <w:rFonts w:ascii="Arial" w:hAnsi="Arial"/>
          <w:noProof w:val="0"/>
          <w:rtl/>
        </w:rPr>
        <w:t xml:space="preserve">המבקשת 1 והמשיב הם בני"ז שנישאו בשנת 2006 ולהם שלושה ילדים.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המבקשים 2 ו-3 הם הוריה של המבקשת 1.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המשיב טוען כי השקיע בבנייה ומימנה באמצעות כספי חסכונות שהיו לו. </w:t>
      </w:r>
    </w:p>
    <w:p w:rsidR="005D6649" w:rsidRPr="005D6649" w:rsidRDefault="005D6649" w:rsidP="005D6649">
      <w:pPr>
        <w:pStyle w:val="ae"/>
        <w:tabs>
          <w:tab w:val="left" w:pos="708"/>
        </w:tabs>
        <w:ind w:hanging="720"/>
        <w:rPr>
          <w:rFonts w:ascii="Arial" w:hAnsi="Arial"/>
          <w:b/>
          <w:bCs/>
          <w:noProof w:val="0"/>
          <w:u w:val="single"/>
        </w:rPr>
      </w:pPr>
    </w:p>
    <w:p w:rsidR="005D6649" w:rsidRPr="005D6649" w:rsidRDefault="005D6649" w:rsidP="005D6649">
      <w:pPr>
        <w:pStyle w:val="ae"/>
        <w:tabs>
          <w:tab w:val="left" w:pos="708"/>
        </w:tabs>
        <w:ind w:hanging="720"/>
        <w:rPr>
          <w:rFonts w:ascii="Arial" w:hAnsi="Arial"/>
          <w:b/>
          <w:bCs/>
          <w:noProof w:val="0"/>
          <w:u w:val="single"/>
          <w:rtl/>
        </w:rPr>
      </w:pPr>
      <w:r w:rsidRPr="005D6649">
        <w:rPr>
          <w:rFonts w:ascii="Arial" w:hAnsi="Arial"/>
          <w:b/>
          <w:bCs/>
          <w:noProof w:val="0"/>
          <w:u w:val="single"/>
          <w:rtl/>
        </w:rPr>
        <w:t>נימוקי הבקשה</w:t>
      </w:r>
    </w:p>
    <w:p w:rsidR="005D6649" w:rsidRPr="005D6649" w:rsidRDefault="005D6649" w:rsidP="005D6649">
      <w:pPr>
        <w:pStyle w:val="ae"/>
        <w:tabs>
          <w:tab w:val="left" w:pos="708"/>
        </w:tabs>
        <w:ind w:hanging="720"/>
        <w:rPr>
          <w:rFonts w:ascii="Arial" w:hAnsi="Arial"/>
          <w:b/>
          <w:bCs/>
          <w:noProof w:val="0"/>
          <w:u w:val="single"/>
          <w:rtl/>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lastRenderedPageBreak/>
        <w:t xml:space="preserve">המבקשים טוענים כי במשק היה בית אימון (מבנה לאפרוחים) ומתוך רצון לעזור לבניה"ז, הציעו להם המבקשים 2-3 להכשיר המבנה למגורים תוך שנדרשה השקעה של עשרות אלפי שקלים בלבד. </w:t>
      </w:r>
    </w:p>
    <w:p w:rsidR="005D6649" w:rsidRPr="005D6649" w:rsidRDefault="005D6649" w:rsidP="005D6649">
      <w:pPr>
        <w:pStyle w:val="ae"/>
        <w:tabs>
          <w:tab w:val="left" w:pos="708"/>
        </w:tabs>
        <w:ind w:hanging="720"/>
        <w:jc w:val="both"/>
        <w:rPr>
          <w:rFonts w:ascii="Arial" w:hAnsi="Arial"/>
          <w:noProof w:val="0"/>
        </w:rPr>
      </w:pPr>
      <w:r w:rsidRPr="005D6649">
        <w:rPr>
          <w:rFonts w:ascii="Arial" w:hAnsi="Arial"/>
          <w:noProof w:val="0"/>
          <w:rtl/>
        </w:rPr>
        <w:t xml:space="preserve"> </w:t>
      </w:r>
    </w:p>
    <w:p w:rsidR="005D6649" w:rsidRPr="005D6649" w:rsidRDefault="005D6649" w:rsidP="005D6649">
      <w:pPr>
        <w:pStyle w:val="ae"/>
        <w:numPr>
          <w:ilvl w:val="0"/>
          <w:numId w:val="1"/>
        </w:numPr>
        <w:tabs>
          <w:tab w:val="left" w:pos="708"/>
        </w:tabs>
        <w:ind w:hanging="720"/>
        <w:jc w:val="both"/>
        <w:rPr>
          <w:rFonts w:ascii="Arial" w:hAnsi="Arial"/>
          <w:noProof w:val="0"/>
        </w:rPr>
      </w:pPr>
      <w:r w:rsidRPr="005D6649">
        <w:rPr>
          <w:rFonts w:ascii="Arial" w:hAnsi="Arial"/>
          <w:noProof w:val="0"/>
          <w:rtl/>
        </w:rPr>
        <w:t>לטענת המבקשים ההליך דנן הינו גלגול שני של הליכים משפטיים שמנהל המשיב מולם, כאשר שטענותיו</w:t>
      </w:r>
      <w:r w:rsidR="00F0070B">
        <w:rPr>
          <w:rFonts w:ascii="Arial" w:hAnsi="Arial"/>
          <w:noProof w:val="0"/>
          <w:rtl/>
        </w:rPr>
        <w:t xml:space="preserve"> לטענתם ש</w:t>
      </w:r>
      <w:r w:rsidRPr="005D6649">
        <w:rPr>
          <w:rFonts w:ascii="Arial" w:hAnsi="Arial"/>
          <w:noProof w:val="0"/>
          <w:rtl/>
        </w:rPr>
        <w:t>קריות. המבקשים טוענים כי תביעתו הראשונה של המשיב נמחקה ע"י המותב הדן בתיק לאחר שהמשיב הטריח המבקשים לחינם {ראו: תמ"ש 50340-03-22 (להלן: "</w:t>
      </w:r>
      <w:r w:rsidRPr="005D6649">
        <w:rPr>
          <w:rFonts w:ascii="Arial" w:hAnsi="Arial"/>
          <w:b/>
          <w:bCs/>
          <w:noProof w:val="0"/>
          <w:rtl/>
        </w:rPr>
        <w:t>ההליך הקודם</w:t>
      </w:r>
      <w:r w:rsidRPr="005D6649">
        <w:rPr>
          <w:rFonts w:ascii="Arial" w:hAnsi="Arial"/>
          <w:noProof w:val="0"/>
          <w:rtl/>
        </w:rPr>
        <w:t xml:space="preserve">")}. </w:t>
      </w:r>
    </w:p>
    <w:p w:rsidR="005D6649" w:rsidRPr="005D6649" w:rsidRDefault="005D6649" w:rsidP="005D6649">
      <w:pPr>
        <w:pStyle w:val="ae"/>
        <w:tabs>
          <w:tab w:val="left" w:pos="708"/>
        </w:tabs>
        <w:ind w:hanging="720"/>
        <w:jc w:val="both"/>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Pr>
      </w:pPr>
      <w:r w:rsidRPr="005D6649">
        <w:rPr>
          <w:rFonts w:ascii="Arial" w:hAnsi="Arial"/>
          <w:noProof w:val="0"/>
          <w:rtl/>
        </w:rPr>
        <w:t xml:space="preserve">לטענת המבקשים, בין תביעה זו לתביעה בהליך הקודם ישנן סתירות כך לדוג', במסגרת ההליך הקודם טען המשיב כי השקיע במבנה נשוא המחלוקת סך של 1,000,000 ₪ מחסכונות שצבר לפני הנישואין, ובתביעתו עתה טען כי השקיע מאות אלפי ₪, כאשר בפועל, מעיון במסמכים נראה כי המשיב השקיע כ- 20,000 ₪, וכן לטענתם סכומים אלה הושקעו לצורך אחזקת המבנה במהלך השנים. </w:t>
      </w: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לטענת המבקשים ניתן ללמוד את הנתונים להם הם טוענים אף מקבלות אותן הציג המשיב בעצמו. כן טוענים המבקשים, כי מעיון בתדפיסי חשבון הבנק אשר הוצגו בהליך הקודם לא נמצאה אסמכתא המעידה על חסכונות כלל, וכי עצם שינוי הגרסה מהליך זה לקודמו מעיד על חוסר תו"ל.</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עוד טוענים המבקשים, כי תוך שימוש בטענות אלה עתר המשיב בהליך הקודם להטלת צו מניעה במעמד צד אחד תוך שהוא פוגע בזכויות הקניין של המבקשים וגרם להם לנזק בעוד הוא מוסיף לנהל הליך סרק מולם, כפי שפועל עתה.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המבקשים טוענים כי כיוון שנטל הראייה להוכחת התביעה מונח על כתפי המשיב והוא לא מצליח להוכיחה, ולו בקירוב, ולא הציג ראיה כי השקיע מאות אלפי ₪ או כמיליון ₪ בנכס, מכספי חסכונותיו או בכלל, הרי שדין תביעתו להידחות, וכי כבר עתה סיכויי תביעתו קלושים.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tabs>
          <w:tab w:val="left" w:pos="708"/>
        </w:tabs>
        <w:ind w:left="360" w:hanging="720"/>
        <w:jc w:val="both"/>
        <w:rPr>
          <w:rFonts w:ascii="Arial" w:hAnsi="Arial"/>
          <w:b/>
          <w:bCs/>
          <w:noProof w:val="0"/>
          <w:u w:val="single"/>
          <w:rtl/>
        </w:rPr>
      </w:pPr>
      <w:r w:rsidRPr="005D6649">
        <w:rPr>
          <w:rFonts w:ascii="Arial" w:hAnsi="Arial"/>
          <w:b/>
          <w:bCs/>
          <w:noProof w:val="0"/>
          <w:u w:val="single"/>
          <w:rtl/>
        </w:rPr>
        <w:t>התנהלותו הכלכלית של המשיב כפי שטוענים לה המבקשים</w:t>
      </w:r>
    </w:p>
    <w:p w:rsidR="005D6649" w:rsidRPr="005D6649" w:rsidRDefault="005D6649" w:rsidP="005D6649">
      <w:pPr>
        <w:pStyle w:val="ae"/>
        <w:tabs>
          <w:tab w:val="left" w:pos="708"/>
        </w:tabs>
        <w:ind w:hanging="720"/>
        <w:jc w:val="both"/>
        <w:rPr>
          <w:rFonts w:ascii="Arial" w:hAnsi="Arial"/>
          <w:noProof w:val="0"/>
        </w:rPr>
      </w:pPr>
    </w:p>
    <w:p w:rsidR="005D6649" w:rsidRPr="005D6649" w:rsidRDefault="005D6649" w:rsidP="00640BAD">
      <w:pPr>
        <w:pStyle w:val="ae"/>
        <w:numPr>
          <w:ilvl w:val="0"/>
          <w:numId w:val="1"/>
        </w:numPr>
        <w:tabs>
          <w:tab w:val="left" w:pos="708"/>
        </w:tabs>
        <w:ind w:hanging="720"/>
        <w:jc w:val="both"/>
        <w:rPr>
          <w:rFonts w:ascii="Arial" w:hAnsi="Arial"/>
          <w:noProof w:val="0"/>
        </w:rPr>
      </w:pPr>
      <w:r w:rsidRPr="005D6649">
        <w:rPr>
          <w:rFonts w:ascii="Arial" w:hAnsi="Arial"/>
          <w:noProof w:val="0"/>
          <w:rtl/>
        </w:rPr>
        <w:t>לטענת המבקשים המשיב לא עומד בתשלומי מזונות אשר נפסק כי ישלם וזאת למרות שהוא עובד  ויש לו הכנסה (הכנסתו אינה מדוו</w:t>
      </w:r>
      <w:r w:rsidR="00E72527">
        <w:rPr>
          <w:rFonts w:ascii="Arial" w:hAnsi="Arial"/>
          <w:noProof w:val="0"/>
          <w:rtl/>
        </w:rPr>
        <w:t>חת והוא עובד במספרה ב</w:t>
      </w:r>
      <w:r w:rsidR="00640BAD">
        <w:rPr>
          <w:rFonts w:ascii="Arial" w:hAnsi="Arial" w:hint="cs"/>
          <w:noProof w:val="0"/>
          <w:rtl/>
        </w:rPr>
        <w:t xml:space="preserve"> ***** </w:t>
      </w:r>
      <w:r w:rsidR="00E72527">
        <w:rPr>
          <w:rFonts w:ascii="Arial" w:hAnsi="Arial"/>
          <w:noProof w:val="0"/>
          <w:rtl/>
        </w:rPr>
        <w:t xml:space="preserve"> </w:t>
      </w:r>
      <w:r w:rsidR="00E72527">
        <w:rPr>
          <w:rFonts w:ascii="Arial" w:hAnsi="Arial" w:hint="cs"/>
          <w:noProof w:val="0"/>
          <w:rtl/>
        </w:rPr>
        <w:t>******</w:t>
      </w:r>
      <w:r w:rsidRPr="005D6649">
        <w:rPr>
          <w:rFonts w:ascii="Arial" w:hAnsi="Arial"/>
          <w:noProof w:val="0"/>
          <w:rtl/>
        </w:rPr>
        <w:t xml:space="preserve">). </w:t>
      </w:r>
    </w:p>
    <w:p w:rsidR="005D6649" w:rsidRPr="005D6649" w:rsidRDefault="005D6649" w:rsidP="005D6649">
      <w:pPr>
        <w:pStyle w:val="ae"/>
        <w:tabs>
          <w:tab w:val="left" w:pos="708"/>
        </w:tabs>
        <w:ind w:hanging="720"/>
        <w:jc w:val="both"/>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Pr>
      </w:pPr>
      <w:r w:rsidRPr="005D6649">
        <w:rPr>
          <w:rFonts w:ascii="Arial" w:hAnsi="Arial"/>
          <w:noProof w:val="0"/>
          <w:rtl/>
        </w:rPr>
        <w:t xml:space="preserve">עוד טוענים המבקשים כי מלא נטל הטיפול בילדי בניה"ז מוטל על כתפיהם, וכי המשיב לא לוקח חלק בגידולם, לא עומד בזמני השהות ומתנהל באופן מניפולטיבי. </w:t>
      </w:r>
    </w:p>
    <w:p w:rsidR="005D6649" w:rsidRPr="005D6649" w:rsidRDefault="005D6649" w:rsidP="005D6649">
      <w:pPr>
        <w:pStyle w:val="ae"/>
        <w:tabs>
          <w:tab w:val="left" w:pos="708"/>
        </w:tabs>
        <w:ind w:hanging="720"/>
        <w:jc w:val="both"/>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Pr>
      </w:pPr>
      <w:r w:rsidRPr="005D6649">
        <w:rPr>
          <w:rFonts w:ascii="Arial" w:hAnsi="Arial"/>
          <w:noProof w:val="0"/>
          <w:rtl/>
        </w:rPr>
        <w:lastRenderedPageBreak/>
        <w:t xml:space="preserve">לטענת המבקשים, המשיב גם סירב לשאת בעלויות מבחן הרישוי השנתי לרכב המשותף של הצדדים, זאת למרות שנטל אותו מאת המבקשת 1 והרכב היה ברשותו. בתמצית יאמר כי המשיב סירב להשיב את הרכב לידי המבקשת 1 וכן לחתום על ייפוי כח על מנת שתוכל להעביר אותו טסט (ראו לעניין זה החלטת המותבת הנכבדה מיום 20.11.22 בתמ"ש 44582-05-22).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לטענת המבקשים המשיב עושה שימוש ציני בהיותו מיוצג ע"י הסיוע המשפטי שכן הוא לא משלם אגרות בשל ניהול ההליכים, וכן למשיב אין קושי לטעון טענות סרק שהרי בשל התנהלותו החמקנית לא ניתן להיפרע מימנו.</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לטענת המבקשים גם ניהול הליכי הוצל"פ מול המשיב לא מסייעים במאומה לגביית תשלומי מזונות, גם צו מאסר אשר הוצא כנגד המשיב לא סייע בגביית הכספים, בהקשר לכך הפנו המבקשים להחלטת הרשמת עידית גור אריה מיום 31.1.23 המורה על מאסר המשיב לתקופה של עשרה ימים, תוך שהיא מתנה את ביטול המאסר בהפקדת סך של 10,000 ₪ (כאשר החוב בהוצל"פ עמד נכון לאותו מועד על סך 40,000 ₪). </w:t>
      </w:r>
    </w:p>
    <w:p w:rsidR="005D6649" w:rsidRPr="005D6649" w:rsidRDefault="005D6649" w:rsidP="005D6649">
      <w:pPr>
        <w:pStyle w:val="ae"/>
        <w:tabs>
          <w:tab w:val="left" w:pos="708"/>
        </w:tabs>
        <w:ind w:hanging="720"/>
        <w:jc w:val="both"/>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Pr>
      </w:pPr>
      <w:r w:rsidRPr="005D6649">
        <w:rPr>
          <w:rFonts w:ascii="Arial" w:hAnsi="Arial"/>
          <w:noProof w:val="0"/>
          <w:rtl/>
        </w:rPr>
        <w:t>עוד טוענים המבקשים כי מאוחר יותר וביום 7.5.23 נאסר המשיב לאחר שסירב לשלם סכום של 4,500 ₪ מתוך חוב אשר עמד באותו מועד על סך 50,000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עוד טוענים המבקשים כי נכון למועד זה לא שילם המשיב דמי מזונות כלל, זאת מלבד סכום אשר התקבל ממכירת רכב ועוקל ע"י הוצל"פ לטובת חוב המזונות, זאת על אף שבמשך השנים עבד כספר במס' מקומות ועם עזיבתו את הבית העלים יחד עמו סכומי כסף אשר צבר במזומן.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לטענת המבקשים, המשיב עובד משעות הבוק</w:t>
      </w:r>
      <w:r w:rsidR="00E72527">
        <w:rPr>
          <w:rFonts w:ascii="Arial" w:hAnsi="Arial"/>
          <w:noProof w:val="0"/>
          <w:rtl/>
        </w:rPr>
        <w:t>ר ועד לשעות אחה"צ במספרה ב</w:t>
      </w:r>
      <w:r w:rsidR="00E72527">
        <w:rPr>
          <w:rFonts w:ascii="Arial" w:hAnsi="Arial" w:hint="cs"/>
          <w:noProof w:val="0"/>
          <w:rtl/>
        </w:rPr>
        <w:t>******</w:t>
      </w:r>
      <w:r w:rsidRPr="005D6649">
        <w:rPr>
          <w:rFonts w:ascii="Arial" w:hAnsi="Arial"/>
          <w:noProof w:val="0"/>
          <w:rtl/>
        </w:rPr>
        <w:t xml:space="preserve"> והוא עמוס בעבודה, עד כדי שאחד מילדיו ביקש להסתפר אצלו והוא טען כי אין לו תור פנוי לשבוע הקרוב, אולם כספים אשר מתקבלים מעבודתו לא מופקדים לחשבון הבנק אלא מוסתרים על ידו.</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בנוסף לכך, לטענת המבקשים, לאופי ניהולם של ההליכים שבין בניה"ז בביה"ד הרבני לעניין גירושין ומשמורת קטינים ע"י המשיב, יש השלכה על הדרך בה הוא מנהל ההליך דכאן, ובשל התנהלותו שם, נדרש לחייבו בהפקדת ערובה בהליך זה.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tabs>
          <w:tab w:val="left" w:pos="708"/>
        </w:tabs>
        <w:ind w:hanging="720"/>
        <w:jc w:val="both"/>
        <w:rPr>
          <w:rFonts w:ascii="Arial" w:hAnsi="Arial"/>
          <w:b/>
          <w:bCs/>
          <w:noProof w:val="0"/>
          <w:u w:val="single"/>
          <w:rtl/>
        </w:rPr>
      </w:pPr>
      <w:r w:rsidRPr="005D6649">
        <w:rPr>
          <w:rFonts w:ascii="Arial" w:hAnsi="Arial"/>
          <w:b/>
          <w:bCs/>
          <w:noProof w:val="0"/>
          <w:rtl/>
        </w:rPr>
        <w:tab/>
      </w:r>
      <w:r w:rsidRPr="005D6649">
        <w:rPr>
          <w:rFonts w:ascii="Arial" w:hAnsi="Arial"/>
          <w:b/>
          <w:bCs/>
          <w:noProof w:val="0"/>
          <w:u w:val="single"/>
          <w:rtl/>
        </w:rPr>
        <w:t>תגובת המשיב</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lastRenderedPageBreak/>
        <w:t xml:space="preserve">לטענת המשיב יש לסלק את הבקשה על הסף ולחייב המבקשים בהוצאות משפט כיוון שטענות המבקשים מתבססות על הליכים אחרים המתנהלים בדלתיים סגורות בין המבקשת 1 למשיב, הליכים החוסים תחת חיסיון, והיה עליהם לפנות בבקשה מתאימה להסרת החיסיון ולא לעשות דין עצמי. כך גם לעניין טענת המבקשים על רישום המשיב לאתרי היכרויות שהיא בעלת אופי רכילותי.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לטענת המשיב ההליך הקודם נמחק מסיבות פרוצדוראליות בלבד. כן טען המשיב כי פסיקת ביהמ"ש אינה מכירה במצב של חסימת גישתו של בעל לערכאות בטענה כי הוא "שקרן", וכי אין להצדיק חסימת זכותו הבסיסי לערכאות או להכביד על זכות זאת.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עוד טוען המשיב כי אין סתירה בין הליך זה לקודמו, כיוון שההפרש בין הסכומים ביחס לבניית הדירה אינו משנה לנוכח העובדה שאין מחלוקת בין הצדדים כי המשיב שילם עבור בניית הדירה ואף צירף חוו"ד מומחה המעריכה את עלות הבנייה. עוד טען כי אין בטענה ביחס לסכומי התביעה כדי להשליך על סיכויי התביעה אלא לשאלת הסכום בלבד.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לטענת המשיב כישורי הורותו (ההליך המתנהל בבד"ר) ורישומו (או העדר רישומו) לאתרי היכרויות אינם מהווים סיבה לחסום את זכות גישתו לערכאות.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בנוסף טוען המשיב כי אין בעובדה שעדכן מען שונה רלוונטיות במקרה של בקשה להפקדת ערובה אלא במצב בו בעל דין הינו תושב חוץ, ובמקרה זה על כל פנים אין מקום להעלאתה כיוון שהמשיב מיוצג וכן זוהי כתובתו המעודכנת במשרד הפנים.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המשיב טוען כי הטלת חיוב בהפקדת ערובה הינה צעד חריג והפנה למבחן הפסיקה (רע"א 6353/12 אברהם נ' יגרמן) ובהתאם לו טען כי לא ניתן להגדיר את ההליך כהליך סרק, וככל וביהמ"ש היה סבור כי התביעה מופרכת היה עושה שימוש בסמכות המוקנית לו ומורה על מחיקתה.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לטענת המשיב ביום 15.3.23 הגישו המבקשים בקשה להבהיר האם יש מקום בניהול הליך המהו"ת וביהמ"ש קבע כי מדובר בהליך אשר מתאים מאד להתברר במהו"ת, לו סבר ביהמ"ש כי מדובר בהליך סרק לא היה מפנה הצדדים לגישור.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עוד טען המשיב כי קבלת טענת המבקשים לפיה המשיב מיוצג מטעם הלשכה לסיוע משפטי מחייבת הפקדת ערובה, משמעות קבלת טענה זאת היא כי לעולם יוטל חיוב על בעלי דין המיוצגים מטעם הלשכה לסיוע משפטי (ראו </w:t>
      </w:r>
      <w:r w:rsidRPr="005D6649">
        <w:rPr>
          <w:rFonts w:ascii="Arial" w:hAnsi="Arial"/>
          <w:b/>
          <w:bCs/>
          <w:noProof w:val="0"/>
          <w:rtl/>
        </w:rPr>
        <w:t>רע"א 9934/16 אירג' קרמנשהצ'י נ' טיזאבי ביזאן</w:t>
      </w:r>
      <w:r w:rsidRPr="005D6649">
        <w:rPr>
          <w:rFonts w:ascii="Arial" w:hAnsi="Arial"/>
          <w:noProof w:val="0"/>
          <w:rtl/>
        </w:rPr>
        <w:t>).</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tabs>
          <w:tab w:val="left" w:pos="708"/>
        </w:tabs>
        <w:ind w:hanging="720"/>
        <w:jc w:val="both"/>
        <w:rPr>
          <w:rFonts w:ascii="David" w:hAnsi="David"/>
          <w:b/>
          <w:bCs/>
          <w:u w:val="single"/>
          <w:rtl/>
        </w:rPr>
      </w:pPr>
      <w:r w:rsidRPr="005D6649">
        <w:rPr>
          <w:rFonts w:ascii="David" w:hAnsi="David"/>
          <w:b/>
          <w:bCs/>
          <w:rtl/>
        </w:rPr>
        <w:tab/>
      </w:r>
      <w:r w:rsidRPr="005D6649">
        <w:rPr>
          <w:rFonts w:ascii="David" w:hAnsi="David"/>
          <w:b/>
          <w:bCs/>
          <w:u w:val="single"/>
          <w:rtl/>
        </w:rPr>
        <w:t xml:space="preserve">דיון והכרעה </w:t>
      </w:r>
    </w:p>
    <w:p w:rsidR="005D6649" w:rsidRPr="005D6649" w:rsidRDefault="005D6649" w:rsidP="005D6649">
      <w:pPr>
        <w:keepNext/>
        <w:keepLines/>
        <w:tabs>
          <w:tab w:val="left" w:pos="708"/>
        </w:tabs>
        <w:spacing w:before="240" w:after="240"/>
        <w:ind w:hanging="720"/>
        <w:outlineLvl w:val="1"/>
        <w:rPr>
          <w:rFonts w:ascii="David" w:hAnsi="David"/>
          <w:b/>
          <w:bCs/>
          <w:u w:val="single"/>
        </w:rPr>
      </w:pPr>
      <w:r w:rsidRPr="005D6649">
        <w:rPr>
          <w:rFonts w:ascii="David" w:hAnsi="David"/>
          <w:b/>
          <w:bCs/>
          <w:rtl/>
        </w:rPr>
        <w:lastRenderedPageBreak/>
        <w:tab/>
      </w:r>
      <w:r w:rsidRPr="005D6649">
        <w:rPr>
          <w:rFonts w:ascii="David" w:hAnsi="David"/>
          <w:b/>
          <w:bCs/>
          <w:u w:val="single"/>
          <w:rtl/>
        </w:rPr>
        <w:t>המסגרת הנורמטיבית</w:t>
      </w:r>
    </w:p>
    <w:p w:rsidR="005D6649" w:rsidRPr="005D6649" w:rsidRDefault="00640BAD" w:rsidP="005D6649">
      <w:pPr>
        <w:pStyle w:val="1"/>
        <w:numPr>
          <w:ilvl w:val="0"/>
          <w:numId w:val="1"/>
        </w:numPr>
        <w:tabs>
          <w:tab w:val="left" w:pos="708"/>
        </w:tabs>
        <w:spacing w:before="240" w:line="240" w:lineRule="auto"/>
        <w:ind w:hanging="720"/>
        <w:rPr>
          <w:rFonts w:ascii="David" w:hAnsi="David" w:cs="David"/>
          <w:sz w:val="24"/>
          <w:szCs w:val="24"/>
        </w:rPr>
      </w:pPr>
      <w:r>
        <w:rPr>
          <w:rFonts w:ascii="David" w:hAnsi="David" w:cs="David" w:hint="cs"/>
          <w:sz w:val="24"/>
          <w:szCs w:val="24"/>
          <w:rtl/>
        </w:rPr>
        <w:t xml:space="preserve">       </w:t>
      </w:r>
      <w:r w:rsidR="005D6649" w:rsidRPr="005D6649">
        <w:rPr>
          <w:rFonts w:ascii="David" w:hAnsi="David" w:cs="David"/>
          <w:sz w:val="24"/>
          <w:szCs w:val="24"/>
          <w:rtl/>
        </w:rPr>
        <w:t>הזכות לפנות לערכאות השיפוטיות היא זכות קונסטיטוציונית מן המעלה הראשונה (</w:t>
      </w:r>
      <w:hyperlink r:id="rId10" w:history="1">
        <w:r w:rsidR="005D6649" w:rsidRPr="005D6649">
          <w:rPr>
            <w:rStyle w:val="Hyperlink"/>
            <w:rFonts w:ascii="David" w:hAnsi="David" w:cs="David"/>
            <w:sz w:val="24"/>
            <w:szCs w:val="24"/>
            <w:rtl/>
          </w:rPr>
          <w:t>רע"א 544/89</w:t>
        </w:r>
      </w:hyperlink>
      <w:r w:rsidR="005D6649" w:rsidRPr="005D6649">
        <w:rPr>
          <w:rFonts w:ascii="David" w:hAnsi="David" w:cs="David"/>
          <w:sz w:val="24"/>
          <w:szCs w:val="24"/>
          <w:rtl/>
        </w:rPr>
        <w:t xml:space="preserve"> </w:t>
      </w:r>
      <w:r w:rsidR="005D6649" w:rsidRPr="005D6649">
        <w:rPr>
          <w:rFonts w:ascii="David" w:hAnsi="David" w:cs="David" w:hint="cs"/>
          <w:b/>
          <w:bCs/>
          <w:sz w:val="24"/>
          <w:szCs w:val="24"/>
          <w:rtl/>
        </w:rPr>
        <w:t>אויקל תעשיות (1985) בע"מ נ' נילי מפעלי מתכת בע"מ</w:t>
      </w:r>
      <w:r w:rsidR="005D6649" w:rsidRPr="005D6649">
        <w:rPr>
          <w:rFonts w:ascii="David" w:hAnsi="David" w:cs="David" w:hint="cs"/>
          <w:sz w:val="24"/>
          <w:szCs w:val="24"/>
          <w:rtl/>
        </w:rPr>
        <w:t xml:space="preserve"> [1], בעמ' 650). יש הסוברים כי קיומה הוא תנאי לקיומן של שאר זכויות היסוד (</w:t>
      </w:r>
      <w:hyperlink r:id="rId11" w:history="1">
        <w:r w:rsidR="005D6649" w:rsidRPr="005D6649">
          <w:rPr>
            <w:rStyle w:val="Hyperlink"/>
            <w:rFonts w:ascii="David" w:hAnsi="David" w:cs="David"/>
            <w:sz w:val="24"/>
            <w:szCs w:val="24"/>
            <w:rtl/>
          </w:rPr>
          <w:t>ע"א 733/95</w:t>
        </w:r>
      </w:hyperlink>
      <w:r w:rsidR="005D6649" w:rsidRPr="005D6649">
        <w:rPr>
          <w:rFonts w:ascii="David" w:hAnsi="David" w:cs="David"/>
          <w:sz w:val="24"/>
          <w:szCs w:val="24"/>
          <w:rtl/>
        </w:rPr>
        <w:t xml:space="preserve"> </w:t>
      </w:r>
      <w:r w:rsidR="005D6649" w:rsidRPr="005D6649">
        <w:rPr>
          <w:rFonts w:ascii="David" w:hAnsi="David" w:cs="David" w:hint="cs"/>
          <w:b/>
          <w:bCs/>
          <w:sz w:val="24"/>
          <w:szCs w:val="24"/>
          <w:rtl/>
        </w:rPr>
        <w:t>ארפל אלומיניום בע"מ נ' קליל תעשיות בע"מ</w:t>
      </w:r>
      <w:r w:rsidR="005D6649" w:rsidRPr="005D6649">
        <w:rPr>
          <w:rFonts w:ascii="David" w:hAnsi="David" w:cs="David" w:hint="cs"/>
          <w:sz w:val="24"/>
          <w:szCs w:val="24"/>
          <w:rtl/>
        </w:rPr>
        <w:t xml:space="preserve"> [2], בעמ' 629). זכות זו נתונה לכול, ואין היא נחלתם הבלעדית של אלה שבידם יכולת כלכלית לממן הליך משפטי. ייתכן שעצם היכולת לפנות למערכת השיפוטית היא זכות קניין המוגנת ב</w:t>
      </w:r>
      <w:hyperlink r:id="rId12" w:history="1">
        <w:r w:rsidR="005D6649" w:rsidRPr="005D6649">
          <w:rPr>
            <w:rStyle w:val="Hyperlink"/>
            <w:rFonts w:ascii="David" w:hAnsi="David" w:cs="David"/>
            <w:b/>
            <w:bCs/>
            <w:sz w:val="24"/>
            <w:szCs w:val="24"/>
            <w:rtl/>
          </w:rPr>
          <w:t>חוק-יסוד: כבוד האדם וחירותו</w:t>
        </w:r>
      </w:hyperlink>
      <w:r w:rsidR="005D6649" w:rsidRPr="005D6649">
        <w:rPr>
          <w:rFonts w:ascii="David" w:hAnsi="David" w:cs="David"/>
          <w:sz w:val="24"/>
          <w:szCs w:val="24"/>
          <w:rtl/>
        </w:rPr>
        <w:t>. ניתן לראותה אף כזכות הבאה לשרת זכות אחרת, של תביעה בגין פגיעה בקניין (ראו ש' לוין תורת הפרוצדורה האזרחית – מבוא ועקרונות יסוד [10], בעמ' 26). עם זאת הוסמך בית</w:t>
      </w:r>
      <w:r w:rsidR="005D6649" w:rsidRPr="005D6649">
        <w:rPr>
          <w:rFonts w:ascii="David" w:hAnsi="David" w:cs="David"/>
          <w:position w:val="4"/>
          <w:sz w:val="24"/>
          <w:szCs w:val="24"/>
          <w:rtl/>
        </w:rPr>
        <w:t>-</w:t>
      </w:r>
      <w:r w:rsidR="005D6649" w:rsidRPr="005D6649">
        <w:rPr>
          <w:rFonts w:ascii="David" w:hAnsi="David" w:cs="David"/>
          <w:sz w:val="24"/>
          <w:szCs w:val="24"/>
          <w:rtl/>
        </w:rPr>
        <w:t xml:space="preserve">המשפט </w:t>
      </w:r>
      <w:hyperlink r:id="rId13" w:history="1">
        <w:r w:rsidR="005D6649" w:rsidRPr="005D6649">
          <w:rPr>
            <w:rStyle w:val="Hyperlink"/>
            <w:rFonts w:ascii="David" w:hAnsi="David" w:cs="David"/>
            <w:sz w:val="24"/>
            <w:szCs w:val="24"/>
            <w:rtl/>
          </w:rPr>
          <w:t>בתקנה 159</w:t>
        </w:r>
      </w:hyperlink>
      <w:r w:rsidR="005D6649" w:rsidRPr="005D6649">
        <w:rPr>
          <w:rFonts w:ascii="David" w:hAnsi="David" w:cs="David"/>
          <w:sz w:val="24"/>
          <w:szCs w:val="24"/>
          <w:rtl/>
        </w:rPr>
        <w:t xml:space="preserve"> ל</w:t>
      </w:r>
      <w:hyperlink r:id="rId14" w:history="1">
        <w:r w:rsidR="005D6649" w:rsidRPr="005D6649">
          <w:rPr>
            <w:rStyle w:val="Hyperlink"/>
            <w:rFonts w:ascii="David" w:hAnsi="David" w:cs="David"/>
            <w:sz w:val="24"/>
            <w:szCs w:val="24"/>
            <w:rtl/>
          </w:rPr>
          <w:t>תקנות סדר הדין האזרחי</w:t>
        </w:r>
      </w:hyperlink>
      <w:r w:rsidR="005D6649" w:rsidRPr="005D6649">
        <w:rPr>
          <w:rFonts w:ascii="David" w:hAnsi="David" w:cs="David"/>
          <w:sz w:val="24"/>
          <w:szCs w:val="24"/>
          <w:rtl/>
        </w:rPr>
        <w:t xml:space="preserve">, אם נראה לו הדבר, לצוות על תובע ליתן ערובה לתשלום הוצאותיו של נתבע. הרציונל העומד בבסיס הסמכות להטיל ערובה הוא למנוע תביעות סרק ובעיקר להבטיח את תשלום הוצאותיו של הנתבע, בייחוד כשנראה שסיכויי התביעה נמוכים (ראו למשל: </w:t>
      </w:r>
      <w:hyperlink r:id="rId15" w:history="1">
        <w:r w:rsidR="005D6649" w:rsidRPr="005D6649">
          <w:rPr>
            <w:rStyle w:val="Hyperlink"/>
            <w:rFonts w:ascii="David" w:hAnsi="David" w:cs="David"/>
            <w:sz w:val="24"/>
            <w:szCs w:val="24"/>
            <w:rtl/>
          </w:rPr>
          <w:t>רע"א 8010/01</w:t>
        </w:r>
      </w:hyperlink>
      <w:r w:rsidR="005D6649" w:rsidRPr="005D6649">
        <w:rPr>
          <w:rFonts w:ascii="David" w:hAnsi="David" w:cs="David"/>
          <w:sz w:val="24"/>
          <w:szCs w:val="24"/>
          <w:rtl/>
        </w:rPr>
        <w:t xml:space="preserve"> </w:t>
      </w:r>
      <w:r w:rsidR="005D6649" w:rsidRPr="005D6649">
        <w:rPr>
          <w:rFonts w:ascii="David" w:hAnsi="David" w:cs="David" w:hint="cs"/>
          <w:b/>
          <w:bCs/>
          <w:sz w:val="24"/>
          <w:szCs w:val="24"/>
          <w:rtl/>
        </w:rPr>
        <w:t xml:space="preserve">מימון נ' אלדן </w:t>
      </w:r>
      <w:r w:rsidR="005D6649" w:rsidRPr="005D6649">
        <w:rPr>
          <w:rFonts w:ascii="David" w:hAnsi="David" w:cs="David" w:hint="cs"/>
          <w:sz w:val="24"/>
          <w:szCs w:val="24"/>
          <w:rtl/>
        </w:rPr>
        <w:t xml:space="preserve">[3]; </w:t>
      </w:r>
      <w:hyperlink r:id="rId16" w:history="1">
        <w:r w:rsidR="005D6649" w:rsidRPr="005D6649">
          <w:rPr>
            <w:rStyle w:val="Hyperlink"/>
            <w:rFonts w:ascii="David" w:hAnsi="David" w:cs="David"/>
            <w:sz w:val="24"/>
            <w:szCs w:val="24"/>
            <w:rtl/>
          </w:rPr>
          <w:t>ע"א 2877/92</w:t>
        </w:r>
      </w:hyperlink>
      <w:r w:rsidR="005D6649" w:rsidRPr="005D6649">
        <w:rPr>
          <w:rFonts w:ascii="David" w:hAnsi="David" w:cs="David"/>
          <w:sz w:val="24"/>
          <w:szCs w:val="24"/>
          <w:rtl/>
        </w:rPr>
        <w:t xml:space="preserve"> </w:t>
      </w:r>
      <w:r w:rsidR="005D6649" w:rsidRPr="005D6649">
        <w:rPr>
          <w:rFonts w:ascii="David" w:hAnsi="David" w:cs="David" w:hint="cs"/>
          <w:b/>
          <w:bCs/>
          <w:sz w:val="24"/>
          <w:szCs w:val="24"/>
          <w:rtl/>
        </w:rPr>
        <w:t>אל לטיף נ' מורשת בנימין למסחר ולבניה (קרני שומרון) בע"מ</w:t>
      </w:r>
      <w:r w:rsidR="005D6649" w:rsidRPr="005D6649">
        <w:rPr>
          <w:rFonts w:ascii="David" w:hAnsi="David" w:cs="David" w:hint="cs"/>
          <w:sz w:val="24"/>
          <w:szCs w:val="24"/>
          <w:rtl/>
        </w:rPr>
        <w:t xml:space="preserve"> [4]).</w:t>
      </w:r>
    </w:p>
    <w:p w:rsidR="005D6649" w:rsidRPr="005D6649" w:rsidRDefault="005D6649" w:rsidP="005D6649">
      <w:pPr>
        <w:pStyle w:val="ae"/>
        <w:numPr>
          <w:ilvl w:val="0"/>
          <w:numId w:val="1"/>
        </w:numPr>
        <w:tabs>
          <w:tab w:val="left" w:pos="708"/>
        </w:tabs>
        <w:spacing w:before="240" w:after="240"/>
        <w:ind w:hanging="720"/>
        <w:jc w:val="both"/>
        <w:rPr>
          <w:rFonts w:ascii="Arial" w:hAnsi="Arial"/>
        </w:rPr>
      </w:pPr>
      <w:r w:rsidRPr="005D6649">
        <w:rPr>
          <w:rFonts w:ascii="Arial" w:hAnsi="Arial"/>
          <w:rtl/>
        </w:rPr>
        <w:t xml:space="preserve">ברירת המחדל בהליכים אזרחיים הינה כי כל צד נושא בהוצאותיו, אולם הדין מאפשר לבית המשפט סמכות להורות כי צד אחד יישא בהוצאות הצד שכנגד [ראו למשל </w:t>
      </w:r>
      <w:hyperlink r:id="rId17" w:history="1">
        <w:r w:rsidRPr="005D6649">
          <w:rPr>
            <w:rStyle w:val="Hyperlink"/>
            <w:rFonts w:ascii="Arial" w:hAnsi="Arial"/>
            <w:rtl/>
          </w:rPr>
          <w:t>רע"א 7687/18</w:t>
        </w:r>
      </w:hyperlink>
      <w:r w:rsidRPr="005D6649">
        <w:rPr>
          <w:rFonts w:ascii="Arial" w:hAnsi="Arial"/>
          <w:b/>
          <w:bCs/>
          <w:rtl/>
        </w:rPr>
        <w:t xml:space="preserve"> ‏ מדינת ישראל - רשות המסים - מנהל מע"מ לוד נ' מרעב חסן בנייה וסחר בע"מ</w:t>
      </w:r>
      <w:r w:rsidRPr="005D6649">
        <w:rPr>
          <w:rFonts w:ascii="Arial" w:hAnsi="Arial"/>
          <w:rtl/>
        </w:rPr>
        <w:t xml:space="preserve">, </w:t>
      </w:r>
      <w:r w:rsidRPr="005D6649">
        <w:rPr>
          <w:rtl/>
        </w:rPr>
        <w:t xml:space="preserve">[פורסם בנבו] </w:t>
      </w:r>
      <w:r w:rsidRPr="005D6649">
        <w:rPr>
          <w:rFonts w:ascii="Arial" w:hAnsi="Arial"/>
          <w:rtl/>
        </w:rPr>
        <w:t xml:space="preserve">פס' 7 (15.07.2020) (להלן – עניין </w:t>
      </w:r>
      <w:r w:rsidRPr="005D6649">
        <w:rPr>
          <w:rFonts w:ascii="Arial" w:hAnsi="Arial"/>
          <w:b/>
          <w:bCs/>
          <w:rtl/>
        </w:rPr>
        <w:t>מרעב חסן בנייה וסחר</w:t>
      </w:r>
      <w:r w:rsidRPr="005D6649">
        <w:rPr>
          <w:rFonts w:ascii="Arial" w:hAnsi="Arial"/>
          <w:rtl/>
        </w:rPr>
        <w:t>)].</w:t>
      </w:r>
    </w:p>
    <w:p w:rsidR="005D6649" w:rsidRPr="005D6649" w:rsidRDefault="005D6649" w:rsidP="005D6649">
      <w:pPr>
        <w:pStyle w:val="ae"/>
        <w:tabs>
          <w:tab w:val="left" w:pos="708"/>
        </w:tabs>
        <w:spacing w:before="240" w:after="240"/>
        <w:ind w:left="368" w:hanging="720"/>
        <w:jc w:val="both"/>
        <w:rPr>
          <w:rFonts w:ascii="Arial" w:hAnsi="Arial"/>
        </w:rPr>
      </w:pPr>
    </w:p>
    <w:p w:rsidR="005D6649" w:rsidRPr="005D6649" w:rsidRDefault="005D6649" w:rsidP="005D6649">
      <w:pPr>
        <w:pStyle w:val="ae"/>
        <w:numPr>
          <w:ilvl w:val="0"/>
          <w:numId w:val="1"/>
        </w:numPr>
        <w:tabs>
          <w:tab w:val="left" w:pos="708"/>
        </w:tabs>
        <w:spacing w:before="240" w:after="240"/>
        <w:ind w:hanging="720"/>
        <w:jc w:val="both"/>
        <w:rPr>
          <w:rFonts w:ascii="Arial" w:hAnsi="Arial"/>
          <w:rtl/>
        </w:rPr>
      </w:pPr>
      <w:r w:rsidRPr="005D6649">
        <w:rPr>
          <w:rFonts w:ascii="Arial" w:hAnsi="Arial"/>
          <w:rtl/>
        </w:rPr>
        <w:t xml:space="preserve">יתרה מזו, לבית המשפט סמכות לחייב תובע בהפקדת ערובה, שתשמש לתשלום הוצאות המבקשים במקרה בו יפסקו לטובתו הוצאות במסגרת ההליך. </w:t>
      </w:r>
    </w:p>
    <w:p w:rsidR="005D6649" w:rsidRPr="005D6649" w:rsidRDefault="005D6649" w:rsidP="005D6649">
      <w:pPr>
        <w:pStyle w:val="ae"/>
        <w:tabs>
          <w:tab w:val="left" w:pos="708"/>
        </w:tabs>
        <w:spacing w:before="240" w:after="240"/>
        <w:ind w:left="368" w:hanging="720"/>
        <w:jc w:val="both"/>
        <w:rPr>
          <w:rFonts w:ascii="Arial" w:hAnsi="Arial"/>
          <w:rtl/>
        </w:rPr>
      </w:pPr>
    </w:p>
    <w:p w:rsidR="005D6649" w:rsidRPr="005D6649" w:rsidRDefault="005D6649" w:rsidP="005D6649">
      <w:pPr>
        <w:pStyle w:val="ae"/>
        <w:numPr>
          <w:ilvl w:val="0"/>
          <w:numId w:val="1"/>
        </w:numPr>
        <w:tabs>
          <w:tab w:val="left" w:pos="708"/>
        </w:tabs>
        <w:spacing w:before="240" w:after="240"/>
        <w:ind w:hanging="720"/>
        <w:jc w:val="both"/>
        <w:rPr>
          <w:rFonts w:ascii="Arial" w:hAnsi="Arial"/>
        </w:rPr>
      </w:pPr>
      <w:r w:rsidRPr="005D6649">
        <w:rPr>
          <w:rFonts w:ascii="Arial" w:hAnsi="Arial"/>
          <w:rtl/>
        </w:rPr>
        <w:t xml:space="preserve">ההסדר החקיקתי הקובע את סמכותו של בית המשפט לחייב תובע יחיד בהפקדת ערובה קבוע </w:t>
      </w:r>
      <w:hyperlink r:id="rId18" w:history="1">
        <w:r w:rsidRPr="005D6649">
          <w:rPr>
            <w:rStyle w:val="Hyperlink"/>
            <w:rFonts w:ascii="Arial" w:hAnsi="Arial"/>
            <w:rtl/>
          </w:rPr>
          <w:t>בתקנה 157</w:t>
        </w:r>
      </w:hyperlink>
      <w:r w:rsidRPr="005D6649">
        <w:rPr>
          <w:rFonts w:ascii="Arial" w:hAnsi="Arial"/>
          <w:rtl/>
        </w:rPr>
        <w:t xml:space="preserve"> (א) לתקנות, וזו לשונה:</w:t>
      </w:r>
    </w:p>
    <w:p w:rsidR="005D6649" w:rsidRPr="005D6649" w:rsidRDefault="005D6649" w:rsidP="005D6649">
      <w:pPr>
        <w:pStyle w:val="ae"/>
        <w:tabs>
          <w:tab w:val="left" w:pos="708"/>
          <w:tab w:val="left" w:pos="8022"/>
        </w:tabs>
        <w:spacing w:before="240" w:after="240"/>
        <w:ind w:left="368" w:right="1134" w:hanging="720"/>
        <w:rPr>
          <w:rFonts w:ascii="Arial" w:hAnsi="Arial"/>
          <w:b/>
          <w:bCs/>
        </w:rPr>
      </w:pPr>
    </w:p>
    <w:p w:rsidR="005D6649" w:rsidRPr="005D6649" w:rsidRDefault="005D6649" w:rsidP="005D6649">
      <w:pPr>
        <w:pStyle w:val="ae"/>
        <w:tabs>
          <w:tab w:val="left" w:pos="708"/>
        </w:tabs>
        <w:spacing w:before="240" w:after="240"/>
        <w:ind w:hanging="720"/>
        <w:jc w:val="both"/>
        <w:rPr>
          <w:rFonts w:ascii="Arial" w:hAnsi="Arial"/>
          <w:b/>
          <w:bCs/>
          <w:rtl/>
        </w:rPr>
      </w:pPr>
      <w:r w:rsidRPr="005D6649">
        <w:rPr>
          <w:rFonts w:ascii="Arial" w:hAnsi="Arial"/>
          <w:b/>
          <w:bCs/>
          <w:rtl/>
        </w:rPr>
        <w:tab/>
        <w:t>"157. (א) בית המשפט רשאי, אם נראה לו הדבר, לצוות על תובע לתת ערובה לתשלום הוצאותיו של נתבע."</w:t>
      </w:r>
    </w:p>
    <w:p w:rsidR="005D6649" w:rsidRPr="005D6649" w:rsidRDefault="005D6649" w:rsidP="005D6649">
      <w:pPr>
        <w:pStyle w:val="ae"/>
        <w:tabs>
          <w:tab w:val="left" w:pos="708"/>
        </w:tabs>
        <w:spacing w:before="240" w:after="240"/>
        <w:ind w:left="368" w:hanging="720"/>
        <w:jc w:val="both"/>
        <w:rPr>
          <w:rFonts w:ascii="David" w:hAnsi="David"/>
          <w:shd w:val="clear" w:color="auto" w:fill="FFFFFF"/>
          <w:rtl/>
        </w:rPr>
      </w:pPr>
    </w:p>
    <w:p w:rsidR="005D6649" w:rsidRPr="005D6649" w:rsidRDefault="005D6649" w:rsidP="005D6649">
      <w:pPr>
        <w:pStyle w:val="ae"/>
        <w:numPr>
          <w:ilvl w:val="0"/>
          <w:numId w:val="1"/>
        </w:numPr>
        <w:tabs>
          <w:tab w:val="left" w:pos="708"/>
        </w:tabs>
        <w:spacing w:before="240" w:after="240"/>
        <w:ind w:hanging="720"/>
        <w:jc w:val="both"/>
        <w:rPr>
          <w:rFonts w:ascii="David" w:hAnsi="David"/>
          <w:shd w:val="clear" w:color="auto" w:fill="FFFFFF"/>
        </w:rPr>
      </w:pPr>
      <w:r w:rsidRPr="005D6649">
        <w:rPr>
          <w:rFonts w:ascii="David" w:hAnsi="David"/>
          <w:shd w:val="clear" w:color="auto" w:fill="FFFFFF"/>
          <w:rtl/>
        </w:rPr>
        <w:t>בין שיקולים אלו נקבעו בפסיקה ארבעה שיקולים עיקריים, שאינם מצטברים, כדלהלן [</w:t>
      </w:r>
      <w:hyperlink r:id="rId19" w:history="1">
        <w:r w:rsidRPr="005D6649">
          <w:rPr>
            <w:rStyle w:val="Hyperlink"/>
            <w:rFonts w:ascii="David" w:hAnsi="David"/>
            <w:shd w:val="clear" w:color="auto" w:fill="FFFFFF"/>
            <w:rtl/>
          </w:rPr>
          <w:t>רע"א 2142/13</w:t>
        </w:r>
      </w:hyperlink>
      <w:r w:rsidRPr="005D6649">
        <w:rPr>
          <w:rFonts w:ascii="David" w:hAnsi="David"/>
          <w:shd w:val="clear" w:color="auto" w:fill="FFFFFF"/>
        </w:rPr>
        <w:t xml:space="preserve"> </w:t>
      </w:r>
      <w:r w:rsidRPr="005D6649">
        <w:rPr>
          <w:rFonts w:ascii="David" w:hAnsi="David"/>
          <w:b/>
          <w:bCs/>
          <w:shd w:val="clear" w:color="auto" w:fill="FFFFFF"/>
          <w:rtl/>
        </w:rPr>
        <w:t>שויהדי נעמאת נ' יצחק קרמין</w:t>
      </w:r>
      <w:r w:rsidRPr="005D6649">
        <w:rPr>
          <w:rFonts w:ascii="David" w:hAnsi="David"/>
          <w:shd w:val="clear" w:color="auto" w:fill="FFFFFF"/>
          <w:rtl/>
        </w:rPr>
        <w:t xml:space="preserve">, </w:t>
      </w:r>
      <w:r w:rsidRPr="005D6649">
        <w:rPr>
          <w:shd w:val="clear" w:color="auto" w:fill="FFFFFF"/>
          <w:rtl/>
        </w:rPr>
        <w:t xml:space="preserve">[פורסם בנבו] </w:t>
      </w:r>
      <w:r w:rsidRPr="005D6649">
        <w:rPr>
          <w:rFonts w:ascii="David" w:hAnsi="David"/>
          <w:shd w:val="clear" w:color="auto" w:fill="FFFFFF"/>
          <w:rtl/>
        </w:rPr>
        <w:t xml:space="preserve">פס' 7 (13.11.2014): א- תושבות חוץ של התובע, ב- אי ציון מען עדכני בכתב התביעה, ג- סיכויי התביעה, ד- מצבו הכלכלי של התובע. </w:t>
      </w:r>
    </w:p>
    <w:p w:rsidR="005D6649" w:rsidRPr="005D6649" w:rsidRDefault="005D6649" w:rsidP="005D6649">
      <w:pPr>
        <w:pStyle w:val="ae"/>
        <w:tabs>
          <w:tab w:val="left" w:pos="708"/>
        </w:tabs>
        <w:spacing w:before="240" w:after="240"/>
        <w:ind w:hanging="720"/>
        <w:jc w:val="both"/>
        <w:rPr>
          <w:rFonts w:ascii="David" w:hAnsi="David"/>
          <w:shd w:val="clear" w:color="auto" w:fill="FFFFFF"/>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בענייננו רלוונטיים שלושה שיקולים: אי ציון מען עדכני בכתב התביעה, סיכויי התביעה ומצבו הכלכלי של המשיב.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b/>
          <w:bCs/>
          <w:noProof w:val="0"/>
          <w:rtl/>
        </w:rPr>
        <w:t>שיקול ראשון- אי ציון מען התביעה-</w:t>
      </w:r>
      <w:r w:rsidRPr="005D6649">
        <w:rPr>
          <w:rFonts w:ascii="Arial" w:hAnsi="Arial"/>
          <w:noProof w:val="0"/>
          <w:rtl/>
        </w:rPr>
        <w:t xml:space="preserve">  ציון מען נכון ותקף בכתב התביעה נועד לספק למבקשים כתובת אליה יוכלו לפנות לצורך גביית הוצאותיהם, ככל שייפסקו לזכותם.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spacing w:before="240" w:after="240"/>
        <w:ind w:hanging="720"/>
        <w:jc w:val="both"/>
        <w:rPr>
          <w:rFonts w:ascii="David" w:hAnsi="David"/>
          <w:shd w:val="clear" w:color="auto" w:fill="FFFFFF"/>
          <w:rtl/>
        </w:rPr>
      </w:pPr>
      <w:r w:rsidRPr="005D6649">
        <w:rPr>
          <w:rFonts w:ascii="David" w:hAnsi="David"/>
          <w:b/>
          <w:bCs/>
          <w:rtl/>
        </w:rPr>
        <w:t>שיקול שני - סיכויי התביעה</w:t>
      </w:r>
      <w:r w:rsidRPr="005D6649">
        <w:rPr>
          <w:rFonts w:ascii="David" w:hAnsi="David"/>
          <w:rtl/>
        </w:rPr>
        <w:t xml:space="preserve"> – יש לבחון את סיכויי התביעה על פניה, אך גם בכך אין טעם בלבדי המספיק לשם חיוב התובע בהפקדת ערובה;</w:t>
      </w:r>
      <w:r w:rsidRPr="005D6649">
        <w:rPr>
          <w:rFonts w:ascii="David" w:hAnsi="David"/>
          <w:shd w:val="clear" w:color="auto" w:fill="FFFFFF"/>
          <w:rtl/>
        </w:rPr>
        <w:t xml:space="preserve"> </w:t>
      </w:r>
    </w:p>
    <w:p w:rsidR="005D6649" w:rsidRPr="005D6649" w:rsidRDefault="005D6649" w:rsidP="005D6649">
      <w:pPr>
        <w:pStyle w:val="ae"/>
        <w:tabs>
          <w:tab w:val="left" w:pos="708"/>
        </w:tabs>
        <w:ind w:hanging="720"/>
        <w:rPr>
          <w:rFonts w:ascii="David" w:hAnsi="David"/>
          <w:shd w:val="clear" w:color="auto" w:fill="FFFFFF"/>
        </w:rPr>
      </w:pPr>
    </w:p>
    <w:p w:rsidR="005D6649" w:rsidRPr="005D6649" w:rsidRDefault="005D6649" w:rsidP="005D6649">
      <w:pPr>
        <w:pStyle w:val="ae"/>
        <w:numPr>
          <w:ilvl w:val="0"/>
          <w:numId w:val="1"/>
        </w:numPr>
        <w:tabs>
          <w:tab w:val="left" w:pos="708"/>
        </w:tabs>
        <w:spacing w:before="240" w:after="240"/>
        <w:ind w:hanging="720"/>
        <w:jc w:val="both"/>
        <w:rPr>
          <w:rFonts w:ascii="David" w:hAnsi="David"/>
          <w:rtl/>
        </w:rPr>
      </w:pPr>
      <w:r w:rsidRPr="005D6649">
        <w:rPr>
          <w:rFonts w:ascii="David" w:hAnsi="David"/>
          <w:rtl/>
        </w:rPr>
        <w:t xml:space="preserve">ההלכה הנוהגת בפסיקה היא שכאשר עסקינן בהליך שנמצא בערכאתו הראשונה – שיקול זה כלשעצמו אינו יכול, על פי רוב, להביא לחיוב התובע בערובה להוצאות הנתבע [ראו למשל </w:t>
      </w:r>
      <w:hyperlink r:id="rId20" w:history="1">
        <w:r w:rsidRPr="005D6649">
          <w:rPr>
            <w:rStyle w:val="Hyperlink"/>
            <w:rFonts w:ascii="David" w:hAnsi="David"/>
            <w:rtl/>
          </w:rPr>
          <w:t>רע"א 6353/12</w:t>
        </w:r>
      </w:hyperlink>
      <w:r w:rsidRPr="005D6649">
        <w:rPr>
          <w:rFonts w:ascii="David" w:hAnsi="David"/>
          <w:rtl/>
        </w:rPr>
        <w:t xml:space="preserve"> </w:t>
      </w:r>
      <w:r w:rsidRPr="005D6649">
        <w:rPr>
          <w:rFonts w:ascii="David" w:hAnsi="David" w:hint="cs"/>
          <w:b/>
          <w:bCs/>
          <w:rtl/>
        </w:rPr>
        <w:t xml:space="preserve"> אברהם נ' יגרמן</w:t>
      </w:r>
      <w:r w:rsidRPr="005D6649">
        <w:rPr>
          <w:rFonts w:ascii="David" w:hAnsi="David" w:hint="cs"/>
          <w:rtl/>
        </w:rPr>
        <w:t xml:space="preserve">, </w:t>
      </w:r>
      <w:r w:rsidRPr="005D6649">
        <w:rPr>
          <w:rtl/>
        </w:rPr>
        <w:t xml:space="preserve">[פורסם בנבו] </w:t>
      </w:r>
      <w:r w:rsidRPr="005D6649">
        <w:rPr>
          <w:rFonts w:ascii="David" w:hAnsi="David"/>
          <w:rtl/>
        </w:rPr>
        <w:t xml:space="preserve">פס' 5 (16.01.2013); </w:t>
      </w:r>
      <w:hyperlink r:id="rId21" w:history="1">
        <w:r w:rsidRPr="005D6649">
          <w:rPr>
            <w:rStyle w:val="Hyperlink"/>
            <w:rFonts w:ascii="David" w:hAnsi="David"/>
            <w:rtl/>
          </w:rPr>
          <w:t>רע"א 2142/13</w:t>
        </w:r>
      </w:hyperlink>
      <w:r w:rsidRPr="005D6649">
        <w:rPr>
          <w:rFonts w:ascii="David" w:hAnsi="David"/>
          <w:rtl/>
        </w:rPr>
        <w:t xml:space="preserve"> </w:t>
      </w:r>
      <w:r w:rsidRPr="005D6649">
        <w:rPr>
          <w:rFonts w:ascii="David" w:hAnsi="David" w:hint="cs"/>
          <w:b/>
          <w:bCs/>
          <w:rtl/>
        </w:rPr>
        <w:t xml:space="preserve"> שויהדי נעמאת נ' יצחק קרמין</w:t>
      </w:r>
      <w:r w:rsidRPr="005D6649">
        <w:rPr>
          <w:rFonts w:ascii="David" w:hAnsi="David" w:hint="cs"/>
          <w:rtl/>
        </w:rPr>
        <w:t xml:space="preserve">, </w:t>
      </w:r>
      <w:r w:rsidRPr="005D6649">
        <w:rPr>
          <w:rtl/>
        </w:rPr>
        <w:t xml:space="preserve">[פורסם בנבו] </w:t>
      </w:r>
      <w:r w:rsidRPr="005D6649">
        <w:rPr>
          <w:rFonts w:ascii="David" w:hAnsi="David"/>
          <w:rtl/>
        </w:rPr>
        <w:t>פס' 7 (13.11.2014)].</w:t>
      </w:r>
    </w:p>
    <w:p w:rsidR="005D6649" w:rsidRPr="005D6649" w:rsidRDefault="005D6649" w:rsidP="005D6649">
      <w:pPr>
        <w:pStyle w:val="ae"/>
        <w:tabs>
          <w:tab w:val="left" w:pos="708"/>
        </w:tabs>
        <w:spacing w:before="240" w:after="240"/>
        <w:ind w:left="368" w:hanging="720"/>
        <w:jc w:val="both"/>
        <w:rPr>
          <w:rFonts w:ascii="David" w:hAnsi="David"/>
          <w:rtl/>
        </w:rPr>
      </w:pPr>
    </w:p>
    <w:p w:rsidR="005D6649" w:rsidRPr="005D6649" w:rsidRDefault="005D6649" w:rsidP="005D6649">
      <w:pPr>
        <w:pStyle w:val="ae"/>
        <w:numPr>
          <w:ilvl w:val="0"/>
          <w:numId w:val="1"/>
        </w:numPr>
        <w:tabs>
          <w:tab w:val="left" w:pos="708"/>
        </w:tabs>
        <w:spacing w:before="240" w:after="240"/>
        <w:ind w:hanging="720"/>
        <w:jc w:val="both"/>
        <w:rPr>
          <w:rFonts w:ascii="David" w:hAnsi="David"/>
        </w:rPr>
      </w:pPr>
      <w:r w:rsidRPr="005D6649">
        <w:rPr>
          <w:rFonts w:ascii="David" w:hAnsi="David"/>
          <w:rtl/>
        </w:rPr>
        <w:t xml:space="preserve">עוד נקבע בפסיקה כי ברירת המחדל היא שתובע לא יחויב בהפקדת ערובה. בהתאם לכך, נקבע לא אחת, כי מתוך שאיפה לצמצם את הפגיעה בזכות הגישה לערכאות, המהווה זכות חוקתית, בית המשפט יפעיל את סמכותו לפי </w:t>
      </w:r>
      <w:hyperlink r:id="rId22" w:history="1">
        <w:r w:rsidRPr="005D6649">
          <w:rPr>
            <w:rStyle w:val="Hyperlink"/>
            <w:rtl/>
          </w:rPr>
          <w:t>תקנה 157 (ותקנה 519</w:t>
        </w:r>
      </w:hyperlink>
      <w:r w:rsidRPr="005D6649">
        <w:rPr>
          <w:rFonts w:ascii="David" w:hAnsi="David"/>
        </w:rPr>
        <w:t xml:space="preserve"> </w:t>
      </w:r>
      <w:r w:rsidRPr="005D6649">
        <w:rPr>
          <w:rFonts w:ascii="David" w:hAnsi="David"/>
          <w:rtl/>
        </w:rPr>
        <w:t xml:space="preserve"> בשעתה) אך במקרים חריגים [</w:t>
      </w:r>
      <w:hyperlink r:id="rId23" w:history="1">
        <w:r w:rsidRPr="005D6649">
          <w:rPr>
            <w:rStyle w:val="Hyperlink"/>
            <w:rtl/>
          </w:rPr>
          <w:t>רע"א 3746/20</w:t>
        </w:r>
      </w:hyperlink>
      <w:r w:rsidRPr="005D6649">
        <w:rPr>
          <w:rFonts w:ascii="David" w:hAnsi="David"/>
          <w:rtl/>
        </w:rPr>
        <w:t xml:space="preserve"> </w:t>
      </w:r>
      <w:r w:rsidRPr="005D6649">
        <w:rPr>
          <w:rFonts w:ascii="David" w:hAnsi="David" w:hint="cs"/>
          <w:b/>
          <w:bCs/>
          <w:rtl/>
        </w:rPr>
        <w:t>קריל נ' ריטיקר</w:t>
      </w:r>
      <w:r w:rsidRPr="005D6649">
        <w:rPr>
          <w:rFonts w:ascii="David" w:hAnsi="David" w:hint="cs"/>
          <w:rtl/>
        </w:rPr>
        <w:t xml:space="preserve"> </w:t>
      </w:r>
      <w:r w:rsidRPr="005D6649">
        <w:rPr>
          <w:rtl/>
        </w:rPr>
        <w:t xml:space="preserve">[פורסם בנבו] </w:t>
      </w:r>
      <w:r w:rsidRPr="005D6649">
        <w:rPr>
          <w:rFonts w:ascii="David" w:hAnsi="David"/>
          <w:rtl/>
        </w:rPr>
        <w:t xml:space="preserve">(12.11.2020) (להלן – עניין </w:t>
      </w:r>
      <w:r w:rsidRPr="005D6649">
        <w:rPr>
          <w:rFonts w:ascii="David" w:hAnsi="David"/>
          <w:b/>
          <w:bCs/>
          <w:rtl/>
        </w:rPr>
        <w:t>קריל</w:t>
      </w:r>
      <w:r w:rsidRPr="005D6649">
        <w:rPr>
          <w:rFonts w:ascii="David" w:hAnsi="David"/>
          <w:rtl/>
        </w:rPr>
        <w:t xml:space="preserve">); </w:t>
      </w:r>
      <w:hyperlink r:id="rId24" w:history="1">
        <w:r w:rsidRPr="005D6649">
          <w:rPr>
            <w:rStyle w:val="Hyperlink"/>
            <w:rFonts w:ascii="David" w:hAnsi="David"/>
            <w:rtl/>
          </w:rPr>
          <w:t>רע"א 6562/14</w:t>
        </w:r>
      </w:hyperlink>
      <w:r w:rsidRPr="005D6649">
        <w:rPr>
          <w:rFonts w:ascii="David" w:hAnsi="David"/>
        </w:rPr>
        <w:t xml:space="preserve"> </w:t>
      </w:r>
      <w:r w:rsidRPr="005D6649">
        <w:rPr>
          <w:rFonts w:ascii="David" w:hAnsi="David"/>
          <w:b/>
          <w:bCs/>
          <w:rtl/>
        </w:rPr>
        <w:t xml:space="preserve">פלונית נ' מדינת ישראל – משרד הבריאות, </w:t>
      </w:r>
      <w:r w:rsidRPr="005D6649">
        <w:rPr>
          <w:rtl/>
        </w:rPr>
        <w:t xml:space="preserve">[פורסם בנבו] </w:t>
      </w:r>
      <w:r w:rsidRPr="005D6649">
        <w:rPr>
          <w:rFonts w:ascii="David" w:hAnsi="David"/>
          <w:rtl/>
        </w:rPr>
        <w:t xml:space="preserve">פס' 5 </w:t>
      </w:r>
      <w:r w:rsidRPr="005D6649">
        <w:rPr>
          <w:rFonts w:ascii="David" w:hAnsi="David"/>
        </w:rPr>
        <w:t>04.12.2014)</w:t>
      </w:r>
      <w:r w:rsidRPr="005D6649">
        <w:rPr>
          <w:rFonts w:ascii="David" w:hAnsi="David"/>
          <w:rtl/>
        </w:rPr>
        <w:t xml:space="preserve">). </w:t>
      </w:r>
    </w:p>
    <w:p w:rsidR="005D6649" w:rsidRPr="005D6649" w:rsidRDefault="005D6649" w:rsidP="005D6649">
      <w:pPr>
        <w:pStyle w:val="ae"/>
        <w:tabs>
          <w:tab w:val="left" w:pos="708"/>
        </w:tabs>
        <w:spacing w:before="240" w:after="240"/>
        <w:ind w:left="368" w:hanging="720"/>
        <w:jc w:val="both"/>
        <w:rPr>
          <w:rFonts w:ascii="David" w:hAnsi="David"/>
          <w:shd w:val="clear" w:color="auto" w:fill="FFFFFF"/>
        </w:rPr>
      </w:pPr>
    </w:p>
    <w:p w:rsidR="005D6649" w:rsidRPr="005D6649" w:rsidRDefault="005D6649" w:rsidP="005D6649">
      <w:pPr>
        <w:pStyle w:val="ae"/>
        <w:numPr>
          <w:ilvl w:val="0"/>
          <w:numId w:val="1"/>
        </w:numPr>
        <w:tabs>
          <w:tab w:val="left" w:pos="708"/>
        </w:tabs>
        <w:spacing w:before="240" w:after="240"/>
        <w:ind w:hanging="720"/>
        <w:jc w:val="both"/>
        <w:rPr>
          <w:rFonts w:ascii="David" w:hAnsi="David"/>
          <w:shd w:val="clear" w:color="auto" w:fill="FFFFFF"/>
          <w:rtl/>
        </w:rPr>
      </w:pPr>
      <w:r w:rsidRPr="005D6649">
        <w:rPr>
          <w:rFonts w:ascii="David" w:hAnsi="David"/>
          <w:b/>
          <w:bCs/>
          <w:rtl/>
        </w:rPr>
        <w:t>שיקול שלישי - מצבו הכלכלי של התובע</w:t>
      </w:r>
      <w:r w:rsidRPr="005D6649">
        <w:rPr>
          <w:rFonts w:ascii="David" w:hAnsi="David"/>
          <w:rtl/>
        </w:rPr>
        <w:t xml:space="preserve"> יש לאזן בין הקושי של יכולת התובע לשיפוי הנתבע בגין הוצאותיו בתום ההליך, ובין החשש לפגיעה בזכות הגישה לערכאות, כאשר כפות המאזניים יטו לטובת הגנה על זכות הגישה לערכאות.</w:t>
      </w:r>
    </w:p>
    <w:p w:rsidR="005D6649" w:rsidRPr="005D6649" w:rsidRDefault="005D6649" w:rsidP="005D6649">
      <w:pPr>
        <w:keepNext/>
        <w:keepLines/>
        <w:tabs>
          <w:tab w:val="left" w:pos="708"/>
        </w:tabs>
        <w:spacing w:before="240" w:after="240"/>
        <w:ind w:hanging="720"/>
        <w:outlineLvl w:val="1"/>
        <w:rPr>
          <w:rFonts w:ascii="David" w:hAnsi="David"/>
          <w:b/>
          <w:bCs/>
          <w:u w:val="single"/>
          <w:rtl/>
        </w:rPr>
      </w:pPr>
      <w:r w:rsidRPr="005D6649">
        <w:rPr>
          <w:rFonts w:ascii="David" w:hAnsi="David"/>
          <w:rtl/>
        </w:rPr>
        <w:tab/>
        <w:t xml:space="preserve"> </w:t>
      </w:r>
      <w:r w:rsidRPr="005D6649">
        <w:rPr>
          <w:rFonts w:ascii="David" w:hAnsi="David"/>
          <w:b/>
          <w:bCs/>
          <w:u w:val="single"/>
          <w:rtl/>
        </w:rPr>
        <w:t xml:space="preserve">מן הכלל אל הפרט </w:t>
      </w:r>
    </w:p>
    <w:p w:rsidR="005D6649" w:rsidRPr="005D6649" w:rsidRDefault="005D6649" w:rsidP="005D6649">
      <w:pPr>
        <w:pStyle w:val="ae"/>
        <w:keepNext/>
        <w:keepLines/>
        <w:numPr>
          <w:ilvl w:val="0"/>
          <w:numId w:val="1"/>
        </w:numPr>
        <w:tabs>
          <w:tab w:val="left" w:pos="708"/>
        </w:tabs>
        <w:spacing w:before="240" w:after="240"/>
        <w:ind w:hanging="720"/>
        <w:jc w:val="both"/>
        <w:outlineLvl w:val="1"/>
        <w:rPr>
          <w:rFonts w:ascii="David" w:hAnsi="David"/>
          <w:rtl/>
        </w:rPr>
      </w:pPr>
      <w:r w:rsidRPr="005D6649">
        <w:rPr>
          <w:rFonts w:ascii="David" w:hAnsi="David"/>
          <w:rtl/>
        </w:rPr>
        <w:t>השיקולים שהובאו בפסיקה אינם מצטברים, אולם ככלל ביהמ"ש לא יחייב בהפקדת ערובה רק בשל טענה לקלישות סיכויי תביעה או בשל מצב כלכלי דחוק או אי ציון מען – אלא יביא בחשבון מס' נתונים.</w:t>
      </w:r>
    </w:p>
    <w:p w:rsidR="005D6649" w:rsidRPr="005D6649" w:rsidRDefault="005D6649" w:rsidP="005D6649">
      <w:pPr>
        <w:keepNext/>
        <w:keepLines/>
        <w:tabs>
          <w:tab w:val="left" w:pos="708"/>
        </w:tabs>
        <w:spacing w:before="240" w:after="240"/>
        <w:ind w:hanging="720"/>
        <w:outlineLvl w:val="1"/>
        <w:rPr>
          <w:rFonts w:ascii="Arial" w:hAnsi="Arial"/>
          <w:b/>
          <w:bCs/>
          <w:noProof w:val="0"/>
          <w:u w:val="single"/>
          <w:rtl/>
        </w:rPr>
      </w:pPr>
      <w:r w:rsidRPr="005D6649">
        <w:rPr>
          <w:rFonts w:ascii="Arial" w:hAnsi="Arial"/>
          <w:b/>
          <w:bCs/>
          <w:noProof w:val="0"/>
          <w:rtl/>
        </w:rPr>
        <w:tab/>
      </w:r>
      <w:r w:rsidRPr="005D6649">
        <w:rPr>
          <w:rFonts w:ascii="Arial" w:hAnsi="Arial"/>
          <w:b/>
          <w:bCs/>
          <w:noProof w:val="0"/>
          <w:u w:val="single"/>
          <w:rtl/>
        </w:rPr>
        <w:t>אי ציון מען עדכני בכתב התביעה</w:t>
      </w:r>
    </w:p>
    <w:p w:rsidR="005D6649" w:rsidRPr="005D6649" w:rsidRDefault="005D6649" w:rsidP="005D6649">
      <w:pPr>
        <w:pStyle w:val="ae"/>
        <w:numPr>
          <w:ilvl w:val="0"/>
          <w:numId w:val="1"/>
        </w:numPr>
        <w:tabs>
          <w:tab w:val="left" w:pos="708"/>
        </w:tabs>
        <w:ind w:hanging="720"/>
        <w:jc w:val="both"/>
        <w:rPr>
          <w:rFonts w:ascii="David" w:hAnsi="David"/>
          <w:noProof w:val="0"/>
          <w:lang w:eastAsia="he-IL"/>
        </w:rPr>
      </w:pPr>
      <w:r w:rsidRPr="005D6649">
        <w:rPr>
          <w:rFonts w:ascii="David" w:hAnsi="David"/>
          <w:noProof w:val="0"/>
          <w:rtl/>
          <w:lang w:eastAsia="he-IL"/>
        </w:rPr>
        <w:t xml:space="preserve">לטענת המבקשים, המשיב לא ציין מען עדכני בכתב התביעה, אלא כתובת מגורים של מקום בו התגורר כשנה עובר להגשת התביעה, וזו אחת הסיבות לחייבו בהפקדת ערובה. מנגד טוען המשיב כי אי ציון מען בכתב התביעה רלוונטי רק מקום בו בעל הדין מתגורר מחוץ לישראל וכן טען כי כתובת ב"כ מצוינת על כתבי הטענות כך שאין כל מניעה לאתר את המשיב, וכן טען כי הכתובת שמופיעה בכתב התביעה היא כתובתו המעודכנת במשרד הפנים. </w:t>
      </w:r>
    </w:p>
    <w:p w:rsidR="005D6649" w:rsidRPr="005D6649" w:rsidRDefault="005D6649" w:rsidP="005D6649">
      <w:pPr>
        <w:pStyle w:val="ae"/>
        <w:tabs>
          <w:tab w:val="left" w:pos="708"/>
        </w:tabs>
        <w:ind w:hanging="720"/>
        <w:jc w:val="both"/>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Pr>
      </w:pPr>
      <w:r w:rsidRPr="005D6649">
        <w:rPr>
          <w:rFonts w:ascii="Arial" w:hAnsi="Arial"/>
          <w:noProof w:val="0"/>
          <w:rtl/>
        </w:rPr>
        <w:t xml:space="preserve">אכן ניתן לראות בעייתיות בהצגת מען לא מעודכן. ניתן לסבור כי הוצג מען לא עדכני בשל הליכי גביית מזונות בהוצל"פ, ומכאן ניתן להסיק כי אף לו יחויב המשיב בהוצאות במסגרת הליך זה, יתקשו המבקשים לאתרו לצורך גבייתן.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tabs>
          <w:tab w:val="left" w:pos="708"/>
        </w:tabs>
        <w:ind w:hanging="720"/>
        <w:jc w:val="both"/>
        <w:rPr>
          <w:rFonts w:ascii="Arial" w:hAnsi="Arial"/>
          <w:b/>
          <w:bCs/>
          <w:noProof w:val="0"/>
          <w:u w:val="single"/>
          <w:rtl/>
        </w:rPr>
      </w:pPr>
      <w:r w:rsidRPr="005D6649">
        <w:rPr>
          <w:rFonts w:ascii="Arial" w:hAnsi="Arial"/>
          <w:b/>
          <w:bCs/>
          <w:noProof w:val="0"/>
          <w:rtl/>
        </w:rPr>
        <w:tab/>
      </w:r>
      <w:r w:rsidRPr="005D6649">
        <w:rPr>
          <w:rFonts w:ascii="Arial" w:hAnsi="Arial"/>
          <w:b/>
          <w:bCs/>
          <w:noProof w:val="0"/>
          <w:u w:val="single"/>
          <w:rtl/>
        </w:rPr>
        <w:t>סיכויי התביעה</w:t>
      </w:r>
    </w:p>
    <w:p w:rsidR="005D6649" w:rsidRPr="005D6649" w:rsidRDefault="005D6649" w:rsidP="005D6649">
      <w:pPr>
        <w:tabs>
          <w:tab w:val="left" w:pos="708"/>
        </w:tabs>
        <w:ind w:hanging="720"/>
        <w:jc w:val="both"/>
        <w:rPr>
          <w:rFonts w:ascii="Arial" w:hAnsi="Arial"/>
          <w:b/>
          <w:bCs/>
          <w:noProof w:val="0"/>
          <w:u w:val="single"/>
          <w:rtl/>
        </w:rPr>
      </w:pPr>
    </w:p>
    <w:p w:rsidR="005D6649" w:rsidRPr="005D6649" w:rsidRDefault="005D6649" w:rsidP="005D6649">
      <w:pPr>
        <w:pStyle w:val="ae"/>
        <w:numPr>
          <w:ilvl w:val="0"/>
          <w:numId w:val="1"/>
        </w:numPr>
        <w:tabs>
          <w:tab w:val="left" w:pos="708"/>
        </w:tabs>
        <w:ind w:hanging="720"/>
        <w:jc w:val="both"/>
        <w:rPr>
          <w:rFonts w:ascii="Arial" w:hAnsi="Arial"/>
          <w:noProof w:val="0"/>
        </w:rPr>
      </w:pPr>
      <w:r w:rsidRPr="005D6649">
        <w:rPr>
          <w:rFonts w:ascii="Arial" w:hAnsi="Arial"/>
          <w:noProof w:val="0"/>
          <w:rtl/>
        </w:rPr>
        <w:t xml:space="preserve">כחלק מבחינת סיכויי התביעה, עיינתי בהליך הקודם שנמחק. בהליך שם  הורתה כב' המותבת הדנה בהליך, בהחלטה מיום 20.9.22 למשיב לבצע מס' פעולות לצורך ניהול ההליך, ובין היתר ניתנה לו הזדמנות לתקן מחדליו ולהגיש כתב תביעה מתוקן בתוך 7 ימים.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בסופו של דבר, משלא קיים המשיב את האמור בהחלטה מיום 20.9.22 נמחק ההליך, והמשיב פתח בהליך דנן.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לא מצאתי כי עצם קיומו של הליך קודם באותו עניין, הליך אשר נמחק מחמת חוסר מעש, כדי לקבוע סיכויי התביעה בהליך דכאן.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ובעניין ההליך דנן – המשיב עותר לקבלת סכום כספי מהמבקשים בסך של 283,500 ₪. זהו סכום התביעה, כאשר המשיב מסביר את שיעור הסכום בכך שמחצית מהנכס שייכת למבקשת 1 בהיותה רעייתו ומאחר שמדובר בנכס משותף לבניה"ז. לכתב התביעה צירף המשיב אסמכתאות שלטענתו מעידות על שיפוץ מקיף שנעשה בבית המגורים, וחוו"ד שמאי שצירף העריכה את עלויות הבנייה בסכום של 567,000 ₪.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כן צירף המשיב את צוואת המבקשים 2 ו-3 המעידה כי הם חפצים בבא העת להעביר את החלק במשק עליו בנוי הנכס למבקשת 1, וכן הותירו בידה את האפשרות לבצע פרצלציה במשק, כך שהשטח עליו בנוי הנכס יוסדר על שמה.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בניגוד לסכום התביעה דכאן, אכן בהליך הקודם טען המשיב כי בוצעה בנכס המקרקעין בנייה בהשקעה של כ-מיליון ₪. כעת טוען המשיב כי ההשקעה בבנייה היתה בשיעור של כ-חצי מיליון ₪. הפער הגדול בין הסכומים לא נומק כדבעי. לא הובן כיצד פעם אחת טוען המשיב כי הושקע סכום של מיליון ₪ ופעם אחרת טוען כי הושקע סכום של חצי מיליון ₪. נהיר כי כאשר אדם משקיע בבנייה הוא יודע את סדרי הגודל של ההוצאה הכספית ואם אם ישנה סטייה, בהכרח תהא סטייה קלה ולא של חצי מיליון ₪.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המשיב גם לא הוכיח כי </w:t>
      </w:r>
      <w:r w:rsidR="00E72527">
        <w:rPr>
          <w:rFonts w:ascii="Arial" w:hAnsi="Arial"/>
          <w:noProof w:val="0"/>
          <w:rtl/>
        </w:rPr>
        <w:t xml:space="preserve">השקיע מכספו סכום של 500,000 ₪. </w:t>
      </w:r>
      <w:r w:rsidRPr="005D6649">
        <w:rPr>
          <w:rFonts w:ascii="Arial" w:hAnsi="Arial"/>
          <w:noProof w:val="0"/>
          <w:rtl/>
        </w:rPr>
        <w:t xml:space="preserve">לאמור, אף אם עלות הבנייה הערכה ע"י השמאית בכחצי מיליון ₪, לא הובאה ראיה לכך שבניה"ז השקיעו סכום זה. </w:t>
      </w:r>
    </w:p>
    <w:p w:rsidR="005D6649" w:rsidRPr="005D6649" w:rsidRDefault="005D6649" w:rsidP="005D6649">
      <w:pPr>
        <w:pStyle w:val="ae"/>
        <w:tabs>
          <w:tab w:val="left" w:pos="708"/>
        </w:tabs>
        <w:ind w:hanging="720"/>
        <w:jc w:val="both"/>
        <w:rPr>
          <w:rFonts w:ascii="Arial" w:hAnsi="Arial"/>
          <w:noProof w:val="0"/>
        </w:rPr>
      </w:pPr>
      <w:r w:rsidRPr="005D6649">
        <w:rPr>
          <w:rFonts w:ascii="Arial" w:hAnsi="Arial"/>
          <w:noProof w:val="0"/>
          <w:rtl/>
        </w:rPr>
        <w:t xml:space="preserve"> </w:t>
      </w:r>
    </w:p>
    <w:p w:rsidR="005D6649" w:rsidRPr="005D6649" w:rsidRDefault="005D6649" w:rsidP="005D6649">
      <w:pPr>
        <w:pStyle w:val="ae"/>
        <w:numPr>
          <w:ilvl w:val="0"/>
          <w:numId w:val="1"/>
        </w:numPr>
        <w:tabs>
          <w:tab w:val="left" w:pos="708"/>
        </w:tabs>
        <w:ind w:hanging="720"/>
        <w:jc w:val="both"/>
        <w:rPr>
          <w:rFonts w:ascii="Arial" w:hAnsi="Arial"/>
          <w:noProof w:val="0"/>
        </w:rPr>
      </w:pPr>
      <w:r w:rsidRPr="005D6649">
        <w:rPr>
          <w:rFonts w:ascii="Arial" w:hAnsi="Arial"/>
          <w:noProof w:val="0"/>
          <w:rtl/>
        </w:rPr>
        <w:t xml:space="preserve">ואולם, אין באמור כדי לקבוע כי המשיב לא השקיע מכספיו כלל. למעשה  מהקבלות אשר צורפו ע"י המשיב עולה כי אכן השקיע בנכס סכומי כסף. יתרה מזו, אף המבקשים אינם מכחישים טענת המשיב בדבר השקעת כספים, ברם לטענתם, המדובר בהשקעה כספית  בבית אימון (בית גידול לאפרוחים) אשר בו השקיעו יחד בניה"ז סכום כסף של עשרות אלפי שקלים בודדים ובתמורה ניתנה להם האפשרות להתגורר בנכס לתקופה מוגבלת. לטענת המבקשים המשיב לא בנה מבנה אלא שיפץ תשתית קיימת.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הצדדים אפוא אינם חלוקים בשאלת ההשקעה הכספית של המשיב בנכס, אך חלוקים בשאלת הסכום.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מהמסמכים שצירף המשיב לכתב התביעה עולה כי הוא השקיע בנכס סכום של כ-20,000 ₪, וכן המבקשים טענו כי בניה"ז השקיעו סכום כסף בשיפוץ, אולם לא הוכח הסכום הנתבע.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אי לכך, ובאין הוכחה להשקעה של 283,500 ₪, סיכויי התביעה אינם גבוהים, לכל הפחות לעניין סכומה.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tabs>
          <w:tab w:val="left" w:pos="708"/>
        </w:tabs>
        <w:ind w:hanging="720"/>
        <w:jc w:val="both"/>
        <w:rPr>
          <w:rFonts w:ascii="Arial" w:hAnsi="Arial"/>
          <w:b/>
          <w:bCs/>
          <w:noProof w:val="0"/>
          <w:u w:val="single"/>
          <w:rtl/>
        </w:rPr>
      </w:pPr>
      <w:r w:rsidRPr="005D6649">
        <w:rPr>
          <w:rFonts w:ascii="Arial" w:hAnsi="Arial"/>
          <w:b/>
          <w:bCs/>
          <w:noProof w:val="0"/>
          <w:rtl/>
        </w:rPr>
        <w:tab/>
      </w:r>
      <w:r w:rsidRPr="005D6649">
        <w:rPr>
          <w:rFonts w:ascii="Arial" w:hAnsi="Arial"/>
          <w:b/>
          <w:bCs/>
          <w:noProof w:val="0"/>
          <w:u w:val="single"/>
          <w:rtl/>
        </w:rPr>
        <w:t xml:space="preserve">מצבו הכלכלי של המשיב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מן המסמכים שצורפו לבקשה עולה כי המשיב אינו משלם או לפחות לא שילם את מזונות ילדיו כסדרם, וננקטו נגדו הליכי הוצל"פ משמעותיים לצורך הגבייה.  </w:t>
      </w:r>
    </w:p>
    <w:p w:rsidR="005D6649" w:rsidRPr="005D6649" w:rsidRDefault="005D6649" w:rsidP="005D6649">
      <w:pPr>
        <w:pStyle w:val="ae"/>
        <w:tabs>
          <w:tab w:val="left" w:pos="708"/>
        </w:tabs>
        <w:ind w:hanging="720"/>
        <w:jc w:val="both"/>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Pr>
      </w:pPr>
      <w:r w:rsidRPr="005D6649">
        <w:rPr>
          <w:rFonts w:ascii="Arial" w:hAnsi="Arial"/>
          <w:noProof w:val="0"/>
          <w:rtl/>
        </w:rPr>
        <w:t xml:space="preserve">בשל סיכויי התביעה, למצער לעניין סכומיה, עשוי ביהמ"ש לחייב את המשיב בתשלום הוצאות למבקשים.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לכך יש להוסיף גם כי המשיב מיוצג ע"י עו"ד מטעם הלשכה לסיוע משפטי, מה שמעיד על מצב כלכלי ירוד. אמנם אילו היה טעם זה לבדו שיקול לחיוב המשיב בהפקדת ערובה, קרוב לוודאי שהבקשה היתה נדחית. ברם בשקלול מכלול הנתונים, יש ממש בבקשה דנן. </w:t>
      </w:r>
    </w:p>
    <w:p w:rsidR="005D6649" w:rsidRPr="005D6649" w:rsidRDefault="005D6649" w:rsidP="005D6649">
      <w:pPr>
        <w:pStyle w:val="ae"/>
        <w:tabs>
          <w:tab w:val="left" w:pos="708"/>
        </w:tabs>
        <w:ind w:hanging="720"/>
        <w:jc w:val="both"/>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Pr>
      </w:pPr>
      <w:r w:rsidRPr="005D6649">
        <w:rPr>
          <w:rFonts w:ascii="Arial" w:hAnsi="Arial"/>
          <w:noProof w:val="0"/>
          <w:rtl/>
        </w:rPr>
        <w:t xml:space="preserve">נוכח האמור , יש לקבל הבקשה גם מטעם זה.  </w:t>
      </w:r>
    </w:p>
    <w:p w:rsidR="005D6649" w:rsidRPr="005D6649" w:rsidRDefault="005D6649" w:rsidP="005D6649">
      <w:pPr>
        <w:pStyle w:val="ae"/>
        <w:tabs>
          <w:tab w:val="left" w:pos="708"/>
        </w:tabs>
        <w:ind w:hanging="720"/>
        <w:jc w:val="both"/>
        <w:rPr>
          <w:rFonts w:ascii="Arial" w:hAnsi="Arial"/>
          <w:noProof w:val="0"/>
          <w:u w:val="single"/>
        </w:rPr>
      </w:pPr>
      <w:r w:rsidRPr="005D6649">
        <w:rPr>
          <w:rFonts w:ascii="Arial" w:hAnsi="Arial"/>
          <w:noProof w:val="0"/>
          <w:u w:val="single"/>
          <w:rtl/>
        </w:rPr>
        <w:t xml:space="preserve"> </w:t>
      </w:r>
    </w:p>
    <w:p w:rsidR="005D6649" w:rsidRPr="005D6649" w:rsidRDefault="005D6649" w:rsidP="005D6649">
      <w:pPr>
        <w:tabs>
          <w:tab w:val="left" w:pos="708"/>
        </w:tabs>
        <w:spacing w:after="200" w:line="360" w:lineRule="auto"/>
        <w:ind w:hanging="720"/>
        <w:jc w:val="both"/>
        <w:rPr>
          <w:rFonts w:ascii="Calibri" w:eastAsia="Calibri" w:hAnsi="Calibri"/>
          <w:b/>
          <w:bCs/>
          <w:u w:val="single"/>
        </w:rPr>
      </w:pPr>
      <w:r w:rsidRPr="005D6649">
        <w:rPr>
          <w:rFonts w:ascii="Calibri" w:eastAsia="Calibri" w:hAnsi="Calibri"/>
          <w:b/>
          <w:bCs/>
          <w:rtl/>
        </w:rPr>
        <w:tab/>
      </w:r>
      <w:r w:rsidRPr="005D6649">
        <w:rPr>
          <w:rFonts w:ascii="Calibri" w:eastAsia="Calibri" w:hAnsi="Calibri"/>
          <w:b/>
          <w:bCs/>
          <w:u w:val="single"/>
          <w:rtl/>
        </w:rPr>
        <w:t xml:space="preserve">שיקולים בקביעת גובה הערובה </w:t>
      </w:r>
    </w:p>
    <w:p w:rsidR="005D6649" w:rsidRPr="005D6649" w:rsidRDefault="005D6649" w:rsidP="005D6649">
      <w:pPr>
        <w:pStyle w:val="ae"/>
        <w:numPr>
          <w:ilvl w:val="0"/>
          <w:numId w:val="1"/>
        </w:numPr>
        <w:tabs>
          <w:tab w:val="left" w:pos="708"/>
        </w:tabs>
        <w:spacing w:after="200"/>
        <w:ind w:hanging="720"/>
        <w:jc w:val="both"/>
        <w:rPr>
          <w:rFonts w:ascii="Arial" w:hAnsi="Arial"/>
          <w:noProof w:val="0"/>
          <w:rtl/>
        </w:rPr>
      </w:pPr>
      <w:r w:rsidRPr="005D6649">
        <w:rPr>
          <w:rFonts w:ascii="Arial" w:hAnsi="Arial"/>
          <w:noProof w:val="0"/>
          <w:rtl/>
        </w:rPr>
        <w:t xml:space="preserve">אשר לסכום הערובה, מלכתחילה יש להבי בחשבון את סכום התביעה. כאמור לעיל, בשלב זה לא מצאתי כי המשיב ביסס תביעתו לעניין סכומה. אי לכך, יתכן כי התביעה תתקבל באופן חלקי ונמוך משמעותית מסכום התביעה.  </w:t>
      </w:r>
    </w:p>
    <w:p w:rsidR="005D6649" w:rsidRPr="005D6649" w:rsidRDefault="005D6649" w:rsidP="005D6649">
      <w:pPr>
        <w:pStyle w:val="ae"/>
        <w:tabs>
          <w:tab w:val="left" w:pos="708"/>
        </w:tabs>
        <w:spacing w:after="200"/>
        <w:ind w:hanging="720"/>
        <w:jc w:val="both"/>
        <w:rPr>
          <w:rFonts w:ascii="Arial" w:hAnsi="Arial"/>
          <w:noProof w:val="0"/>
        </w:rPr>
      </w:pPr>
    </w:p>
    <w:p w:rsidR="005D6649" w:rsidRPr="005D6649" w:rsidRDefault="005D6649" w:rsidP="005D6649">
      <w:pPr>
        <w:pStyle w:val="ae"/>
        <w:numPr>
          <w:ilvl w:val="0"/>
          <w:numId w:val="1"/>
        </w:numPr>
        <w:tabs>
          <w:tab w:val="left" w:pos="708"/>
        </w:tabs>
        <w:spacing w:after="200" w:line="360" w:lineRule="auto"/>
        <w:ind w:hanging="720"/>
        <w:jc w:val="both"/>
        <w:rPr>
          <w:rFonts w:ascii="Calibri" w:eastAsia="Calibri" w:hAnsi="Calibri"/>
          <w:rtl/>
        </w:rPr>
      </w:pPr>
      <w:r w:rsidRPr="005D6649">
        <w:rPr>
          <w:rFonts w:ascii="Calibri" w:eastAsia="Calibri" w:hAnsi="Calibri"/>
          <w:rtl/>
        </w:rPr>
        <w:t xml:space="preserve">משכך, הנני מוצאת לחייב את המשיב בהפקדת ערובה בשיעור של 10,000 ₪.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spacing w:after="200"/>
        <w:ind w:hanging="720"/>
        <w:jc w:val="both"/>
        <w:rPr>
          <w:rFonts w:ascii="Arial" w:hAnsi="Arial"/>
          <w:noProof w:val="0"/>
          <w:rtl/>
        </w:rPr>
      </w:pPr>
      <w:r w:rsidRPr="005D6649">
        <w:rPr>
          <w:rFonts w:ascii="Arial" w:hAnsi="Arial"/>
          <w:noProof w:val="0"/>
          <w:rtl/>
        </w:rPr>
        <w:t xml:space="preserve">גובה הערובה צריך לאזן בין זכות המשיב להגשת תביעה והבטחת זכות הגישה לערכאות לבין זכותם של המבקשים להבטיח את הוצאותיהם בשל "גרירתם" לבית המשפט בתביעה שסיכוייה אינם גבוהים. יתכן עד מאוד, כי אילו סכום התביעה היה ריאלי ביחס להשקעה מצידו של המשיב, ההליך היה מתייתר או מבעוד מועד או לאחר קבת התביעה בידי המבקשים – שאז היו הצדדים מגיעים להסכמות.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spacing w:after="200"/>
        <w:ind w:hanging="720"/>
        <w:jc w:val="both"/>
        <w:rPr>
          <w:rFonts w:ascii="Calibri" w:eastAsia="Calibri" w:hAnsi="Calibri"/>
          <w:rtl/>
        </w:rPr>
      </w:pPr>
      <w:r w:rsidRPr="005D6649">
        <w:rPr>
          <w:rFonts w:ascii="Arial" w:hAnsi="Arial"/>
          <w:noProof w:val="0"/>
          <w:rtl/>
        </w:rPr>
        <w:t>בשקלול כל אלה, יש לקבוע ערובה שתהווה ערובה משמעותית להבטחת ההוצאות בהליך מצד אחד, אולם תהווה ערובה</w:t>
      </w:r>
      <w:r w:rsidRPr="005D6649">
        <w:rPr>
          <w:rFonts w:ascii="Calibri" w:eastAsia="Calibri" w:hAnsi="Calibri"/>
          <w:rtl/>
        </w:rPr>
        <w:t xml:space="preserve"> שלא תשמש מכשול מפני זכותו של המשיב לנהל תביעתו.</w:t>
      </w:r>
    </w:p>
    <w:p w:rsidR="005D6649" w:rsidRPr="005D6649" w:rsidRDefault="005D6649" w:rsidP="005D6649">
      <w:pPr>
        <w:pStyle w:val="ae"/>
        <w:tabs>
          <w:tab w:val="left" w:pos="708"/>
        </w:tabs>
        <w:ind w:hanging="720"/>
        <w:jc w:val="both"/>
        <w:rPr>
          <w:rFonts w:ascii="Arial" w:hAnsi="Arial"/>
          <w:noProof w:val="0"/>
          <w:u w:val="single"/>
          <w:rtl/>
        </w:rPr>
      </w:pPr>
    </w:p>
    <w:p w:rsidR="005D6649" w:rsidRPr="005D6649" w:rsidRDefault="005D6649" w:rsidP="005D6649">
      <w:pPr>
        <w:tabs>
          <w:tab w:val="left" w:pos="708"/>
        </w:tabs>
        <w:ind w:hanging="720"/>
        <w:jc w:val="both"/>
        <w:rPr>
          <w:rFonts w:ascii="Arial" w:hAnsi="Arial"/>
          <w:b/>
          <w:bCs/>
          <w:noProof w:val="0"/>
          <w:u w:val="single"/>
        </w:rPr>
      </w:pPr>
      <w:r w:rsidRPr="005D6649">
        <w:rPr>
          <w:rFonts w:ascii="Arial" w:hAnsi="Arial"/>
          <w:b/>
          <w:bCs/>
          <w:noProof w:val="0"/>
          <w:rtl/>
        </w:rPr>
        <w:tab/>
      </w:r>
      <w:r w:rsidRPr="005D6649">
        <w:rPr>
          <w:rFonts w:ascii="Arial" w:hAnsi="Arial"/>
          <w:b/>
          <w:bCs/>
          <w:noProof w:val="0"/>
          <w:u w:val="single"/>
          <w:rtl/>
        </w:rPr>
        <w:t xml:space="preserve">סוף דבר- </w:t>
      </w:r>
    </w:p>
    <w:p w:rsidR="005D6649" w:rsidRPr="005D6649" w:rsidRDefault="005D6649" w:rsidP="005D6649">
      <w:pPr>
        <w:pStyle w:val="ae"/>
        <w:tabs>
          <w:tab w:val="left" w:pos="708"/>
        </w:tabs>
        <w:ind w:hanging="720"/>
        <w:rPr>
          <w:rFonts w:ascii="Arial" w:hAnsi="Arial"/>
          <w:noProof w:val="0"/>
          <w:rtl/>
        </w:rPr>
      </w:pPr>
    </w:p>
    <w:p w:rsidR="005D6649" w:rsidRPr="005D6649" w:rsidRDefault="005D6649" w:rsidP="005D6649">
      <w:pPr>
        <w:pStyle w:val="ae"/>
        <w:numPr>
          <w:ilvl w:val="0"/>
          <w:numId w:val="1"/>
        </w:numPr>
        <w:tabs>
          <w:tab w:val="left" w:pos="708"/>
        </w:tabs>
        <w:ind w:hanging="720"/>
        <w:jc w:val="both"/>
        <w:rPr>
          <w:rFonts w:ascii="Arial" w:hAnsi="Arial"/>
          <w:noProof w:val="0"/>
        </w:rPr>
      </w:pPr>
      <w:r w:rsidRPr="005D6649">
        <w:rPr>
          <w:rFonts w:ascii="Arial" w:hAnsi="Arial"/>
          <w:noProof w:val="0"/>
          <w:rtl/>
        </w:rPr>
        <w:t xml:space="preserve">הבקשה מתקבלת באופן בו יפקיד המשיב סך של 10,0000 ₪ להבטחת הוצאות המבקשים וזאת בתוך 21 ימים. ימי החירום במניין הימים.  </w:t>
      </w:r>
    </w:p>
    <w:p w:rsidR="005D6649" w:rsidRPr="005D6649" w:rsidRDefault="005D6649" w:rsidP="005D6649">
      <w:pPr>
        <w:pStyle w:val="ae"/>
        <w:tabs>
          <w:tab w:val="left" w:pos="708"/>
        </w:tabs>
        <w:ind w:hanging="720"/>
        <w:jc w:val="both"/>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Pr>
      </w:pPr>
      <w:r w:rsidRPr="005D6649">
        <w:rPr>
          <w:rFonts w:ascii="Arial" w:hAnsi="Arial"/>
          <w:noProof w:val="0"/>
          <w:rtl/>
        </w:rPr>
        <w:t xml:space="preserve">ככל שהערובה לא תופקד, ההליך ימחק.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החלטה זו תפורסם תוך השמטת כל פרט מזהה, אלא אם תוגש התנגדות מי מהצדדים עד ליום 28.11.23, שאז תינתן החלטה לגופו של עניין.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למעקב המזכירות. </w:t>
      </w:r>
    </w:p>
    <w:p w:rsidR="005D6649" w:rsidRPr="005D6649" w:rsidRDefault="005D6649" w:rsidP="005D6649">
      <w:pPr>
        <w:pStyle w:val="ae"/>
        <w:tabs>
          <w:tab w:val="left" w:pos="708"/>
        </w:tabs>
        <w:ind w:hanging="720"/>
        <w:rPr>
          <w:rFonts w:ascii="Arial" w:hAnsi="Arial"/>
          <w:noProof w:val="0"/>
        </w:rPr>
      </w:pPr>
    </w:p>
    <w:p w:rsidR="005D6649" w:rsidRPr="005D6649" w:rsidRDefault="005D6649" w:rsidP="005D6649">
      <w:pPr>
        <w:pStyle w:val="ae"/>
        <w:numPr>
          <w:ilvl w:val="0"/>
          <w:numId w:val="1"/>
        </w:numPr>
        <w:tabs>
          <w:tab w:val="left" w:pos="708"/>
        </w:tabs>
        <w:ind w:hanging="720"/>
        <w:jc w:val="both"/>
        <w:rPr>
          <w:rFonts w:ascii="Arial" w:hAnsi="Arial"/>
          <w:noProof w:val="0"/>
          <w:rtl/>
        </w:rPr>
      </w:pPr>
      <w:r w:rsidRPr="005D6649">
        <w:rPr>
          <w:rFonts w:ascii="Arial" w:hAnsi="Arial"/>
          <w:noProof w:val="0"/>
          <w:rtl/>
        </w:rPr>
        <w:t xml:space="preserve">החלטה זו תובא לעיון כב' המותבת הדנה בהליך. </w:t>
      </w:r>
    </w:p>
    <w:p w:rsidR="002914D6" w:rsidRPr="005D6649" w:rsidRDefault="002914D6" w:rsidP="005D6649">
      <w:pPr>
        <w:tabs>
          <w:tab w:val="left" w:pos="708"/>
        </w:tabs>
        <w:spacing w:line="360" w:lineRule="auto"/>
        <w:ind w:hanging="720"/>
        <w:jc w:val="both"/>
        <w:rPr>
          <w:rFonts w:ascii="Arial" w:hAnsi="Arial"/>
          <w:noProof w:val="0"/>
          <w:rtl/>
        </w:rPr>
      </w:pPr>
    </w:p>
    <w:p w:rsidR="002914D6" w:rsidRPr="005D6649" w:rsidRDefault="002914D6">
      <w:pPr>
        <w:spacing w:line="360" w:lineRule="auto"/>
        <w:jc w:val="both"/>
        <w:rPr>
          <w:rFonts w:ascii="Arial" w:hAnsi="Arial"/>
          <w:noProof w:val="0"/>
          <w:rtl/>
        </w:rPr>
      </w:pPr>
    </w:p>
    <w:p w:rsidR="002914D6" w:rsidRPr="005D6649" w:rsidRDefault="002914D6">
      <w:pPr>
        <w:spacing w:line="360" w:lineRule="auto"/>
        <w:jc w:val="both"/>
        <w:rPr>
          <w:rFonts w:ascii="Arial" w:hAnsi="Arial"/>
          <w:noProof w:val="0"/>
          <w:rtl/>
        </w:rPr>
      </w:pPr>
    </w:p>
    <w:p w:rsidR="002914D6" w:rsidRPr="005D6649" w:rsidRDefault="002914D6">
      <w:pPr>
        <w:spacing w:line="360" w:lineRule="auto"/>
        <w:jc w:val="both"/>
        <w:rPr>
          <w:rFonts w:ascii="Arial" w:hAnsi="Arial"/>
          <w:noProof w:val="0"/>
          <w:rtl/>
        </w:rPr>
      </w:pPr>
    </w:p>
    <w:p w:rsidR="002914D6" w:rsidRPr="005D6649" w:rsidRDefault="002914D6">
      <w:pPr>
        <w:spacing w:line="360" w:lineRule="auto"/>
        <w:jc w:val="both"/>
        <w:rPr>
          <w:rFonts w:ascii="Arial" w:hAnsi="Arial"/>
          <w:noProof w:val="0"/>
          <w:rtl/>
        </w:rPr>
      </w:pPr>
    </w:p>
    <w:p w:rsidR="002914D6" w:rsidRPr="005D6649" w:rsidRDefault="00904FA7">
      <w:pPr>
        <w:spacing w:line="360" w:lineRule="auto"/>
        <w:jc w:val="both"/>
        <w:rPr>
          <w:rFonts w:ascii="Arial" w:hAnsi="Arial"/>
          <w:noProof w:val="0"/>
          <w:rtl/>
        </w:rPr>
      </w:pPr>
      <w:r w:rsidRPr="005D6649">
        <w:rPr>
          <w:rFonts w:ascii="Arial" w:hAnsi="Arial"/>
          <w:noProof w:val="0"/>
          <w:rtl/>
        </w:rPr>
        <w:lastRenderedPageBreak/>
        <w:t>נית</w:t>
      </w:r>
      <w:r w:rsidRPr="005D6649">
        <w:rPr>
          <w:rFonts w:ascii="Arial" w:hAnsi="Arial" w:hint="cs"/>
          <w:noProof w:val="0"/>
          <w:rtl/>
        </w:rPr>
        <w:t>נה</w:t>
      </w:r>
      <w:r w:rsidR="00011212" w:rsidRPr="005D6649">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ח' כסלו תשפ"ד</w:t>
          </w:r>
        </w:sdtContent>
      </w:sdt>
      <w:r w:rsidR="00011212" w:rsidRPr="005D6649">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21 נובמבר 2023</w:t>
          </w:r>
        </w:sdtContent>
      </w:sdt>
      <w:r w:rsidR="00011212" w:rsidRPr="005D6649">
        <w:rPr>
          <w:rFonts w:ascii="Arial" w:hAnsi="Arial"/>
          <w:noProof w:val="0"/>
          <w:rtl/>
        </w:rPr>
        <w:t>, בהעדר הצדדים.</w:t>
      </w:r>
    </w:p>
    <w:p w:rsidR="00CC29C2" w:rsidRPr="005D6649" w:rsidRDefault="00CC29C2" w:rsidP="00CC29C2">
      <w:pPr>
        <w:spacing w:line="360" w:lineRule="auto"/>
        <w:jc w:val="center"/>
        <w:rPr>
          <w:rFonts w:ascii="Arial" w:hAnsi="Arial"/>
          <w:noProof w:val="0"/>
          <w:rtl/>
        </w:rPr>
      </w:pPr>
    </w:p>
    <w:p w:rsidR="002914D6" w:rsidRDefault="00CC29C2" w:rsidP="00CC29C2">
      <w:pPr>
        <w:spacing w:line="360" w:lineRule="auto"/>
        <w:jc w:val="center"/>
      </w:pPr>
      <w:r w:rsidRPr="005D6649">
        <w:rPr>
          <w:rFonts w:ascii="Arial" w:hAnsi="Arial"/>
          <w:noProof w:val="0"/>
          <w:rtl/>
        </w:rPr>
        <w:tab/>
      </w:r>
      <w:r w:rsidRPr="005D6649">
        <w:rPr>
          <w:rFonts w:ascii="Arial" w:hAnsi="Arial"/>
          <w:noProof w:val="0"/>
          <w:rtl/>
        </w:rPr>
        <w:tab/>
      </w:r>
      <w:sdt>
        <w:sdtPr>
          <w:rPr>
            <w:rtl/>
          </w:rPr>
          <w:alias w:val="MergeField"/>
          <w:tag w:val="1237"/>
          <w:id w:val="805127428"/>
        </w:sdtPr>
        <w:sdtEndPr/>
        <w:sdtContent>
          <w:r w:rsidR="00195892">
            <w:drawing>
              <wp:inline distT="0" distB="0" distL="0" distR="0" wp14:editId="50D07946">
                <wp:extent cx="230505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5" cstate="print">
                          <a:extLst/>
                        </a:blip>
                        <a:stretch>
                          <a:fillRect/>
                        </a:stretch>
                      </pic:blipFill>
                      <pic:spPr>
                        <a:xfrm>
                          <a:off x="0" y="0"/>
                          <a:ext cx="2305050" cy="914400"/>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5D6649">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26"/>
      <w:footerReference w:type="default" r:id="rId27"/>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3ABF" w:rsidRDefault="005F3ABF">
      <w:r>
        <w:separator/>
      </w:r>
    </w:p>
  </w:endnote>
  <w:endnote w:type="continuationSeparator" w:id="0">
    <w:p w:rsidR="005F3ABF" w:rsidRDefault="005F3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0B2001">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0B2001">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3ABF" w:rsidRDefault="005F3ABF">
      <w:r>
        <w:separator/>
      </w:r>
    </w:p>
  </w:footnote>
  <w:footnote w:type="continuationSeparator" w:id="0">
    <w:p w:rsidR="005F3ABF" w:rsidRDefault="005F3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21 נובמבר 2023</w:t>
              </w:r>
            </w:p>
          </w:tc>
        </w:sdtContent>
      </w:sdt>
    </w:tr>
    <w:tr w:rsidR="002914D6">
      <w:trPr>
        <w:trHeight w:val="337"/>
        <w:jc w:val="center"/>
      </w:trPr>
      <w:tc>
        <w:tcPr>
          <w:tcW w:w="8721" w:type="dxa"/>
          <w:gridSpan w:val="2"/>
        </w:tcPr>
        <w:p w:rsidR="002914D6" w:rsidRDefault="005F3ABF" w:rsidP="00E72527">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תמ"ש</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57213-12-22</w:t>
              </w:r>
            </w:sdtContent>
          </w:sdt>
          <w:r w:rsidR="00011212">
            <w:rPr>
              <w:b/>
              <w:bCs/>
              <w:noProof w:val="0"/>
              <w:sz w:val="26"/>
              <w:szCs w:val="26"/>
              <w:rtl/>
            </w:rPr>
            <w:t xml:space="preserve"> </w:t>
          </w:r>
          <w:sdt>
            <w:sdtPr>
              <w:rPr>
                <w:rtl/>
              </w:rPr>
              <w:alias w:val="1172"/>
              <w:tag w:val="1172"/>
              <w:id w:val="1484202908"/>
              <w:text w:multiLine="1"/>
            </w:sdtPr>
            <w:sdtEndPr/>
            <w:sdtContent>
              <w:r w:rsidR="00E72527">
                <w:rPr>
                  <w:rFonts w:hint="cs"/>
                  <w:b/>
                  <w:bCs/>
                  <w:noProof w:val="0"/>
                  <w:sz w:val="26"/>
                  <w:szCs w:val="26"/>
                  <w:rtl/>
                </w:rPr>
                <w:t xml:space="preserve">*** </w:t>
              </w:r>
              <w:r w:rsidR="00CC29C2">
                <w:rPr>
                  <w:b/>
                  <w:bCs/>
                  <w:noProof w:val="0"/>
                  <w:sz w:val="26"/>
                  <w:szCs w:val="26"/>
                  <w:rtl/>
                </w:rPr>
                <w:t xml:space="preserve">נ' </w:t>
              </w:r>
              <w:r w:rsidR="00E72527">
                <w:rPr>
                  <w:rFonts w:hint="cs"/>
                  <w:b/>
                  <w:bCs/>
                  <w:noProof w:val="0"/>
                  <w:sz w:val="26"/>
                  <w:szCs w:val="26"/>
                  <w:rtl/>
                </w:rPr>
                <w:t>***</w:t>
              </w:r>
              <w:r w:rsidR="00CC29C2">
                <w:rPr>
                  <w:b/>
                  <w:bCs/>
                  <w:noProof w:val="0"/>
                  <w:sz w:val="26"/>
                  <w:szCs w:val="26"/>
                  <w:rtl/>
                </w:rPr>
                <w:t xml:space="preserve"> ואח'</w:t>
              </w:r>
            </w:sdtContent>
          </w:sdt>
        </w:p>
        <w:p w:rsidR="002914D6" w:rsidRDefault="002914D6">
          <w:pPr>
            <w:rPr>
              <w:rtl/>
            </w:rPr>
          </w:pPr>
        </w:p>
        <w:p w:rsidR="004E3930" w:rsidRDefault="004E3930">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5795D"/>
    <w:multiLevelType w:val="hybridMultilevel"/>
    <w:tmpl w:val="7FB47ACE"/>
    <w:lvl w:ilvl="0" w:tplc="D25829F0">
      <w:start w:val="1"/>
      <w:numFmt w:val="decimal"/>
      <w:lvlText w:val="%1."/>
      <w:lvlJc w:val="left"/>
      <w:pPr>
        <w:ind w:left="720" w:hanging="360"/>
      </w:pPr>
      <w:rPr>
        <w:rFonts w:ascii="David" w:hAnsi="David" w:cs="David" w:hint="default"/>
        <w:b w:val="0"/>
        <w:bCs w:val="0"/>
        <w:sz w:val="24"/>
        <w:szCs w:val="24"/>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85917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859174&amp;lt;/CaseID&amp;gt;_x000d__x000a_        &amp;lt;CaseMonth&amp;gt;12&amp;lt;/CaseMonth&amp;gt;_x000d__x000a_        &amp;lt;CaseYear&amp;gt;2022&amp;lt;/CaseYear&amp;gt;_x000d__x000a_        &amp;lt;CaseNumber&amp;gt;57213&amp;lt;/CaseNumber&amp;gt;_x000d__x000a_        &amp;lt;NumeratorGroupID&amp;gt;1&amp;lt;/NumeratorGroupID&amp;gt;_x000d__x000a_        &amp;lt;CaseName&amp;gt;עטר נ&amp;#39; עטר ואח&amp;#39;&amp;lt;/CaseName&amp;gt;_x000d__x000a_        &amp;lt;CourtID&amp;gt;30&amp;lt;/CourtID&amp;gt;_x000d__x000a_        &amp;lt;CaseTypeID&amp;gt;15&amp;lt;/CaseTypeID&amp;gt;_x000d__x000a_        &amp;lt;CaseInterestID&amp;gt;10115&amp;lt;/CaseInterestID&amp;gt;_x000d__x000a_        &amp;lt;CaseJudgeName&amp;gt;אורית אביגיל יהלומ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213-12-22&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91&amp;lt;/CaseNextDeterminingTask&amp;gt;_x000d__x000a_        &amp;lt;TemporaryAidStatus /&amp;gt;_x000d__x000a_        &amp;lt;CaseOpenDate&amp;gt;2022-12-27T07:00: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אורית&amp;lt;/CaseJudgeFirstName&amp;gt;_x000d__x000a_        &amp;lt;CaseJudgeLastName&amp;gt;אביגיל יהלומי&amp;lt;/CaseJudgeLastName&amp;gt;_x000d__x000a_        &amp;lt;JudicalPersonID&amp;gt;016438699@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859174&amp;lt;/CaseID&amp;gt;_x000d__x000a_        &amp;lt;CaseMonth&amp;gt;12&amp;lt;/CaseMonth&amp;gt;_x000d__x000a_        &amp;lt;CaseYear&amp;gt;2022&amp;lt;/CaseYear&amp;gt;_x000d__x000a_        &amp;lt;CaseNumber&amp;gt;57213&amp;lt;/CaseNumber&amp;gt;_x000d__x000a_        &amp;lt;NumeratorGroupID&amp;gt;1&amp;lt;/NumeratorGroupID&amp;gt;_x000d__x000a_        &amp;lt;CaseName&amp;gt;עטר נ&amp;#39; עטר ואח&amp;#39;&amp;lt;/CaseName&amp;gt;_x000d__x000a_        &amp;lt;CourtID&amp;gt;30&amp;lt;/CourtID&amp;gt;_x000d__x000a_        &amp;lt;CaseTypeID&amp;gt;15&amp;lt;/CaseTypeID&amp;gt;_x000d__x000a_        &amp;lt;CaseInterestID&amp;gt;10115&amp;lt;/CaseInterestID&amp;gt;_x000d__x000a_        &amp;lt;CaseJudgeName&amp;gt;אורית אביגיל יהלומ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213-12-22&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191&amp;lt;/CaseNextDeterminingTask&amp;gt;_x000d__x000a_        &amp;lt;CaseOpenDate&amp;gt;2022-12-27T07:00: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אורית&amp;lt;/CaseJudgeFirstName&amp;gt;_x000d__x000a_        &amp;lt;CaseJudgeLastName&amp;gt;אביגיל יהלומי&amp;lt;/CaseJudgeLastName&amp;gt;_x000d__x000a_        &amp;lt;JudicalPersonID&amp;gt;016438699@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21T12:18:32.2912575+02:00&amp;lt;/DecisionStatusChangeDate&amp;gt;_x000d__x000a_        &amp;lt;DecisionSignatureDate&amp;gt;2023-11-21T12:18:32.2912575+02:00&amp;lt;/DecisionSignatureDate&amp;gt;_x000d__x000a_        &amp;lt;DecisionSignatureUserID&amp;gt;034496802@GOV.IL&amp;lt;/DecisionSignatureUserID&amp;gt;_x000d__x000a_        &amp;lt;DecisionCreateDate&amp;gt;2023-11-21T12:18:32.2912575+02:00&amp;lt;/DecisionCreateDate&amp;gt;_x000d__x000a_        &amp;lt;DecisionChangeDate&amp;gt;2023-11-21T12:18:32.2912575+02:00&amp;lt;/DecisionChangeDate&amp;gt;_x000d__x000a_        &amp;lt;DecisionChangeUserID&amp;gt;0344968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4968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49680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85917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5"/>
    <w:docVar w:name="NGCS.TemplateCaseTypeID" w:val="15"/>
    <w:docVar w:name="NGCS.TemplateCategoryID" w:val="80"/>
    <w:docVar w:name="NGCS.TemplateCourtID" w:val="30"/>
    <w:docVar w:name="NGCS.TemplateProceedingID" w:val="3"/>
    <w:docVar w:name="SelectedDocumentID" w:val="426313591"/>
    <w:docVar w:name="WordClientAssemblyName" w:val="NGCS.Decision.ClientWordBL"/>
    <w:docVar w:name="WordClientClassName" w:val="NGCS.Decision.ClientWordBL.DecisionClient"/>
  </w:docVars>
  <w:rsids>
    <w:rsidRoot w:val="002914D6"/>
    <w:rsid w:val="00011212"/>
    <w:rsid w:val="000B2001"/>
    <w:rsid w:val="0014058F"/>
    <w:rsid w:val="0019474B"/>
    <w:rsid w:val="00195892"/>
    <w:rsid w:val="00273D47"/>
    <w:rsid w:val="002856D3"/>
    <w:rsid w:val="002914D6"/>
    <w:rsid w:val="002F5307"/>
    <w:rsid w:val="003A0652"/>
    <w:rsid w:val="004E3930"/>
    <w:rsid w:val="004F4787"/>
    <w:rsid w:val="00530E94"/>
    <w:rsid w:val="005D6649"/>
    <w:rsid w:val="005E66BB"/>
    <w:rsid w:val="005F3ABF"/>
    <w:rsid w:val="00640BAD"/>
    <w:rsid w:val="00822AA5"/>
    <w:rsid w:val="00904FA7"/>
    <w:rsid w:val="00921E03"/>
    <w:rsid w:val="009A04C9"/>
    <w:rsid w:val="009D1711"/>
    <w:rsid w:val="00A7661B"/>
    <w:rsid w:val="00B234CE"/>
    <w:rsid w:val="00B31305"/>
    <w:rsid w:val="00B71D13"/>
    <w:rsid w:val="00CA2637"/>
    <w:rsid w:val="00CC29C2"/>
    <w:rsid w:val="00CE7F78"/>
    <w:rsid w:val="00DA714E"/>
    <w:rsid w:val="00E72527"/>
    <w:rsid w:val="00E72C9F"/>
    <w:rsid w:val="00EC118E"/>
    <w:rsid w:val="00F0070B"/>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a0"/>
    <w:semiHidden/>
    <w:unhideWhenUsed/>
    <w:rsid w:val="005D6649"/>
    <w:rPr>
      <w:color w:val="0000FF"/>
      <w:u w:val="single"/>
    </w:rPr>
  </w:style>
  <w:style w:type="paragraph" w:styleId="ae">
    <w:name w:val="List Paragraph"/>
    <w:basedOn w:val="a"/>
    <w:uiPriority w:val="34"/>
    <w:qFormat/>
    <w:rsid w:val="005D6649"/>
    <w:pPr>
      <w:ind w:left="720"/>
      <w:contextualSpacing/>
    </w:pPr>
  </w:style>
  <w:style w:type="paragraph" w:customStyle="1" w:styleId="1">
    <w:name w:val="כניסה1"/>
    <w:basedOn w:val="a"/>
    <w:rsid w:val="005D6649"/>
    <w:pPr>
      <w:tabs>
        <w:tab w:val="left" w:pos="340"/>
        <w:tab w:val="left" w:pos="680"/>
      </w:tabs>
      <w:overflowPunct w:val="0"/>
      <w:autoSpaceDE w:val="0"/>
      <w:autoSpaceDN w:val="0"/>
      <w:adjustRightInd w:val="0"/>
      <w:spacing w:line="250" w:lineRule="exact"/>
      <w:ind w:left="680" w:hanging="680"/>
      <w:jc w:val="both"/>
    </w:pPr>
    <w:rPr>
      <w:rFonts w:cs="FrankRuehl"/>
      <w:noProof w:val="0"/>
      <w:sz w:val="18"/>
      <w:szCs w:val="22"/>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6370544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74880/519.a" TargetMode="External"/><Relationship Id="rId18" Type="http://schemas.openxmlformats.org/officeDocument/2006/relationships/hyperlink" Target="http://www.nevo.co.il/law/157751/157" TargetMode="Externa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yperlink" Target="http://www.nevo.co.il/case/6846266" TargetMode="External"/><Relationship Id="rId7" Type="http://schemas.openxmlformats.org/officeDocument/2006/relationships/webSettings" Target="webSettings.xml"/><Relationship Id="rId12" Type="http://schemas.openxmlformats.org/officeDocument/2006/relationships/hyperlink" Target="http://www.nevo.co.il/law/70320" TargetMode="External"/><Relationship Id="rId17" Type="http://schemas.openxmlformats.org/officeDocument/2006/relationships/hyperlink" Target="http://www.nevo.co.il/case/25092079" TargetMode="External"/><Relationship Id="rId25" Type="http://schemas.openxmlformats.org/officeDocument/2006/relationships/image" Target="media/image1.jpg"/><Relationship Id="rId2" Type="http://schemas.openxmlformats.org/officeDocument/2006/relationships/customXml" Target="../customXml/item1.xml"/><Relationship Id="rId16" Type="http://schemas.openxmlformats.org/officeDocument/2006/relationships/hyperlink" Target="http://www.nevo.co.il/case/17917659" TargetMode="External"/><Relationship Id="rId20" Type="http://schemas.openxmlformats.org/officeDocument/2006/relationships/hyperlink" Target="http://www.nevo.co.il/case/5594332"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5722078" TargetMode="External"/><Relationship Id="rId24" Type="http://schemas.openxmlformats.org/officeDocument/2006/relationships/hyperlink" Target="http://www.nevo.co.il/case/18119168" TargetMode="External"/><Relationship Id="rId5" Type="http://schemas.openxmlformats.org/officeDocument/2006/relationships/styles" Target="styles.xml"/><Relationship Id="rId15" Type="http://schemas.openxmlformats.org/officeDocument/2006/relationships/hyperlink" Target="http://www.nevo.co.il/case/6118558" TargetMode="External"/><Relationship Id="rId23" Type="http://schemas.openxmlformats.org/officeDocument/2006/relationships/hyperlink" Target="http://www.nevo.co.il/case/26744178" TargetMode="External"/><Relationship Id="rId28" Type="http://schemas.openxmlformats.org/officeDocument/2006/relationships/fontTable" Target="fontTable.xml"/><Relationship Id="rId10" Type="http://schemas.openxmlformats.org/officeDocument/2006/relationships/hyperlink" Target="http://www.nevo.co.il/case/17937879" TargetMode="External"/><Relationship Id="rId19" Type="http://schemas.openxmlformats.org/officeDocument/2006/relationships/hyperlink" Target="http://www.nevo.co.il/case/684626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4880" TargetMode="External"/><Relationship Id="rId22" Type="http://schemas.openxmlformats.org/officeDocument/2006/relationships/hyperlink" Target="http://www.nevo.co.il/law/74880/519"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יהודה ישרים</FullName>
        <FirstName>יהודה</FirstName>
        <LastName>ישרים</LastName>
        <PartyPropertyName/>
        <AuthenticationTypeAndNumber>ת"ז 027354380</AuthenticationTypeAndNumber>
        <RepresentatedOrRepresentativesNames/>
        <RepresentatedOrRepresentativesCount>0</RepresentatedOrRepresentativesCount>
        <InvitedBy/>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253532440</CasePartyID>
        <PartyTypeID>3</PartyTypeID>
        <ActivityStatusID>1</ActivityStatusID>
        <LegalEntityID>79111824</LegalEntityID>
        <CaseLegalEntityID>123684369</CaseLegalEntityID>
        <AssistantRoleID>103</AssistantRoleID>
        <AuthenticationTypeID>1</AuthenticationTypeID>
        <AuthenticationTypeName>ת"ז</AuthenticationTypeName>
        <LegalEntityNumber>027354380</LegalEntityNumber>
        <IsMainPartyType>true</IsMainPartyType>
        <CaseDisplayIdentifier>57213-12-22</CaseDisplayIdentifier>
        <CaseTypeID>15</CaseTypeID>
        <CaseTypeName>תיק משפחה (תמ"ש)</CaseTypeName>
        <CaseName>עטר נ' עטר ואח'</CaseName>
        <FullAddress>עמק האלה 250 מודיעין-מכבים-רעות* מרכז גישור בקהילה</FullAddress>
        <EmailAddress>yesharim1@gmail.com</EmailAddress>
        <MotionID>0</MotionID>
        <CasePleaID>0</CasePleaID>
        <FatherName xml:space="preserve">        </FatherName>
        <LinkedCaseID>0</LinkedCaseID>
        <PartyID>1</PartyID>
        <CasePartyCategoryID>2</CasePartyCategoryID>
        <LegalEntityAddressID>84142114</LegalEntityAddressID>
        <LegalEntityEmailAddressID>68074590</LegalEntityEmailAddressID>
        <PleaTypeID>4</PleaTypeID>
        <GroupPartyAlias/>
        <IsConverted>false</IsConverted>
        <LegalEntityNameID>89948645</LegalEntityNameID>
        <RepresentatedNamesOfAssistant/>
        <LegalEntityTypeID>11</LegalEntityTypeID>
        <IsVerdictExists>false</IsVerdictExists>
        <IsAsirAzir>false</IsAsirAzir>
        <IsPublicationProhibited>false</IsPublicationProhibited>
        <PublicationProhibitedFullName>יהודה ישרים</PublicationProhibitedFullName>
      </CaseParties>
      <CaseParties>
        <PartyTypeName>מסייע</PartyTypeName>
        <ProceedingType>כתב טענות עיקרי</ProceedingType>
        <PleaName>כתב תביעה</PleaName>
        <PartyBelonging> - </PartyBelonging>
        <RoleName>מגשר מהו"ת</RoleName>
        <IsSubProceeding>FALSE</IsSubProceeding>
        <FullName>חפצי קופלה</FullName>
        <FirstName>חפצי</FirstName>
        <LastName>קופלה</LastName>
        <PartyPropertyName/>
        <AuthenticationTypeAndNumber>ת"ז 035873181</AuthenticationTypeAndNumber>
        <RepresentatedOrRepresentativesNames/>
        <RepresentatedOrRepresentativesCount>0</RepresentatedOrRepresentativesCount>
        <InvitedBy/>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253532546</CasePartyID>
        <PartyTypeID>3</PartyTypeID>
        <ActivityStatusID>1</ActivityStatusID>
        <LegalEntityID>79108712</LegalEntityID>
        <CaseLegalEntityID>123684411</CaseLegalEntityID>
        <AssistantRoleID>103</AssistantRoleID>
        <AuthenticationTypeID>1</AuthenticationTypeID>
        <AuthenticationTypeName>ת"ז</AuthenticationTypeName>
        <LegalEntityNumber>035873181</LegalEntityNumber>
        <IsMainPartyType>true</IsMainPartyType>
        <CaseDisplayIdentifier>57213-12-22</CaseDisplayIdentifier>
        <CaseTypeID>15</CaseTypeID>
        <CaseTypeName>תיק משפחה (תמ"ש)</CaseTypeName>
        <CaseName>עטר נ' עטר ואח'</CaseName>
        <FullAddress>עמק האלה 250 מודיעין-מכבים-רעות* </FullAddress>
        <EmailAddress>hfzkopla@gmail.com</EmailAddress>
        <MotionID>0</MotionID>
        <CasePleaID>0</CasePleaID>
        <FatherName xml:space="preserve">        </FatherName>
        <LinkedCaseID>0</LinkedCaseID>
        <PartyID>1</PartyID>
        <CasePartyCategoryID>2</CasePartyCategoryID>
        <LegalEntityAddressID>84137292</LegalEntityAddressID>
        <LegalEntityEmailAddressID>68074317</LegalEntityEmailAddressID>
        <PleaTypeID>4</PleaTypeID>
        <GroupPartyAlias/>
        <IsConverted>false</IsConverted>
        <LegalEntityNameID>89941855</LegalEntityNameID>
        <RepresentatedNamesOfAssistant/>
        <LegalEntityTypeID>11</LegalEntityTypeID>
        <IsVerdictExists>false</IsVerdictExists>
        <IsAsirAzir>false</IsAsirAzir>
        <IsPublicationProhibited>false</IsPublicationProhibited>
        <PublicationProhibitedFullName>חפצי קופלה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 בוטבול</FullName>
        <FirstName>אלי</FirstName>
        <LastName>בוטבול</LastName>
        <PartyPropertyName/>
        <AuthenticationTypeAndNumber>מ.ר. 61063</AuthenticationTypeAndNumber>
        <RepresentatedOrRepresentativesNames>אביעד עטר</RepresentatedOrRepresentativesNames>
        <RepresentatedOrRepresentativesCount>1</RepresentatedOrRepresentativesCount>
        <InvitedBy/>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249743794</CasePartyID>
        <PartyTypeID>2</PartyTypeID>
        <ActivityStatusID>1</ActivityStatusID>
        <PartyAliasID>20</PartyAliasID>
        <PartyAliasName>בא כוח תובעים</PartyAliasName>
        <OrdinalNumber>1</OrdinalNumber>
        <LegalEntityID>71807279</LegalEntityID>
        <CaseLegalEntityID>122509538</CaseLegalEntityID>
        <AuthenticationTypeID>4</AuthenticationTypeID>
        <AuthenticationTypeName>מ.ר.</AuthenticationTypeName>
        <LegalEntityNumber>61063</LegalEntityNumber>
        <IsMainPartyType>true</IsMainPartyType>
        <CaseDisplayIdentifier>57213-12-22</CaseDisplayIdentifier>
        <CaseTypeID>15</CaseTypeID>
        <CaseTypeName>תיק משפחה (תמ"ש)</CaseTypeName>
        <CaseName>עטר נ' עטר ואח'</CaseName>
        <FullAddress>השבעה 2 בית שמש ת.ד. 88</FullAddress>
        <EmailAddress>elib32@walla.com</EmailAddress>
        <MotionID>0</MotionID>
        <CasePleaID>0</CasePleaID>
        <LinkedCaseID>0</LinkedCaseID>
        <PartyID>1</PartyID>
        <CasePartyCategoryID>2</CasePartyCategoryID>
        <LegalEntityAddressID>80320353</LegalEntityAddressID>
        <LegalEntityEmailAddressID>68021099</LegalEntityEmailAddressID>
        <PleaTypeID>4</PleaTypeID>
        <LawyerOfficeName>משרד עו"ד אלי בוטבול</LawyerOfficeName>
        <LawyerOfficeID>71807280</LawyerOfficeID>
        <GroupPartyAlias/>
        <IsConverted>false</IsConverted>
        <LegalEntityNameID>75250660</LegalEntityNameID>
        <RepresentatedNamesOfAssistant/>
        <LegalEntityTypeID>4</LegalEntityTypeID>
        <IsVerdictExists>false</IsVerdictExists>
        <IsAsirAzir>false</IsAsirAzir>
        <IsPublicationProhibited>false</IsPublicationProhibited>
        <PublicationProhibitedFullName>אלי בוטבול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אביעד עטר</FullName>
        <FirstName>אביעד</FirstName>
        <LastName>עטר</LastName>
        <PartyPropertyName/>
        <AuthenticationTypeAndNumber>ת"ז 026622258</AuthenticationTypeAndNumber>
        <RepresentatedOrRepresentativesNames>אלי בוטבול</RepresentatedOrRepresentativesNames>
        <RepresentatedOrRepresentativesCount>1</RepresentatedOrRepresentativesCount>
        <InvitedBy/>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249743793</CasePartyID>
        <PartyTypeID>1</PartyTypeID>
        <ActivityStatusID>1</ActivityStatusID>
        <PartyAliasID>1</PartyAliasID>
        <PartyAliasName>תובע</PartyAliasName>
        <OrdinalNumber>1</OrdinalNumber>
        <LegalEntityID>75588607</LegalEntityID>
        <CaseLegalEntityID>122509537</CaseLegalEntityID>
        <AuthenticationTypeID>1</AuthenticationTypeID>
        <AuthenticationTypeName>ת"ז</AuthenticationTypeName>
        <LegalEntityNumber>026622258</LegalEntityNumber>
        <IsMainPartyType>true</IsMainPartyType>
        <CaseDisplayIdentifier>57213-12-22</CaseDisplayIdentifier>
        <CaseTypeID>15</CaseTypeID>
        <CaseTypeName>תיק משפחה (תמ"ש)</CaseTypeName>
        <CaseName>עטר נ' עטר ואח'</CaseName>
        <FullAddress>תעוז </FullAddress>
        <MotionID>0</MotionID>
        <CasePleaID>0</CasePleaID>
        <FatherName>מאיר</FatherName>
        <LinkedCaseID>0</LinkedCaseID>
        <PartyID>1</PartyID>
        <CasePartyCategoryID>2</CasePartyCategoryID>
        <LegalEntityAddressID>87347471</LegalEntityAddressID>
        <PleaTypeID>4</PleaTypeID>
        <GroupPartyAlias>תובעים</GroupPartyAlias>
        <IsConverted>false</IsConverted>
        <LegalEntityRegisteredNameID>9862323</LegalEntityRegisteredNameID>
        <LegalEntityNameID>94156635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אביעד עטר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חנה עטר</FullName>
        <FirstName>חנה</FirstName>
        <LastName>עטר</LastName>
        <PartyPropertyName/>
        <AuthenticationTypeAndNumber>ת"ז 061274296</AuthenticationTypeAndNumber>
        <RepresentatedOrRepresentativesNames>ניר הראל</RepresentatedOrRepresentativesNames>
        <RepresentatedOrRepresentativesCount>1</RepresentatedOrRepresentativesCount>
        <InvitedBy/>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249743795</CasePartyID>
        <PartyTypeID>1</PartyTypeID>
        <ActivityStatusID>1</ActivityStatusID>
        <PartyAliasID>2</PartyAliasID>
        <PartyAliasName>נתבע</PartyAliasName>
        <OrdinalNumber>1</OrdinalNumber>
        <LegalEntityID>80399145</LegalEntityID>
        <CaseLegalEntityID>122509539</CaseLegalEntityID>
        <AuthenticationTypeID>1</AuthenticationTypeID>
        <AuthenticationTypeName>ת"ז</AuthenticationTypeName>
        <LegalEntityNumber>061274296</LegalEntityNumber>
        <IsMainPartyType>true</IsMainPartyType>
        <CaseDisplayIdentifier>57213-12-22</CaseDisplayIdentifier>
        <CaseTypeID>15</CaseTypeID>
        <CaseTypeName>תיק משפחה (תמ"ש)</CaseTypeName>
        <CaseName>עטר נ' עטר ואח'</CaseName>
        <FullAddress>תעוז </FullAddress>
        <MotionID>0</MotionID>
        <CasePleaID>0</CasePleaID>
        <FatherName>פנחס</FatherName>
        <LinkedCaseID>0</LinkedCaseID>
        <PartyID>2</PartyID>
        <CasePartyCategoryID>2</CasePartyCategoryID>
        <LegalEntityAddressID>87347472</LegalEntityAddressID>
        <PleaTypeID>4</PleaTypeID>
        <GroupPartyAlias>נתבעים</GroupPartyAlias>
        <IsConverted>false</IsConverted>
        <LegalEntityRegisteredNameID>9862324</LegalEntityRegisteredNameID>
        <LegalEntityNameID>94156636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חנה עטר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ניר הראל</FullName>
        <FirstName>ניר</FirstName>
        <LastName>הראל</LastName>
        <PartyPropertyName/>
        <AuthenticationTypeAndNumber>מ.ר. 32979</AuthenticationTypeAndNumber>
        <RepresentatedOrRepresentativesNames>פנחס אליאס, ציפורה אליאס, חנה עטר</RepresentatedOrRepresentativesNames>
        <RepresentatedOrRepresentativesCount>3</RepresentatedOrRepresentativesCount>
        <InvitedBy/>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250511382</CasePartyID>
        <PartyTypeID>2</PartyTypeID>
        <ActivityStatusID>1</ActivityStatusID>
        <PartyAliasID>21</PartyAliasID>
        <PartyAliasName>בא כוח נתבעים</PartyAliasName>
        <OrdinalNumber>1</OrdinalNumber>
        <LegalEntityID>410798</LegalEntityID>
        <CaseLegalEntityID>122746564</CaseLegalEntityID>
        <AuthenticationTypeID>4</AuthenticationTypeID>
        <AuthenticationTypeName>מ.ר.</AuthenticationTypeName>
        <LegalEntityNumber>32979</LegalEntityNumber>
        <IsMainPartyType>true</IsMainPartyType>
        <CaseDisplayIdentifier>57213-12-22</CaseDisplayIdentifier>
        <CaseTypeID>15</CaseTypeID>
        <CaseTypeName>תיק משפחה (תמ"ש)</CaseTypeName>
        <CaseName>עטר נ' עטר ואח'</CaseName>
        <FullAddress>מנחם בגין 52 תל אביב -יפו קומה 4</FullAddress>
        <EmailAddress>nir@nrl.co.il</EmailAddress>
        <MotionID>0</MotionID>
        <CasePleaID>0</CasePleaID>
        <LinkedCaseID>0</LinkedCaseID>
        <PartyID>2</PartyID>
        <CasePartyCategoryID>2</CasePartyCategoryID>
        <LegalEntityAddressID>82401840</LegalEntityAddressID>
        <LegalEntityEmailAddressID>19820188</LegalEntityEmailAddressID>
        <PleaTypeID>4</PleaTypeID>
        <LawyerOfficeName>משרד עו"ד: ניר הראל</LawyerOfficeName>
        <LawyerOfficeID>451442</LawyerOfficeID>
        <GroupPartyAlias/>
        <IsConverted>false</IsConverted>
        <LegalEntityNameID>31782</LegalEntityNameID>
        <RepresentatedNamesOfAssistant/>
        <LegalEntityTypeID>4</LegalEntityTypeID>
        <IsVerdictExists>false</IsVerdictExists>
        <IsAsirAzir>false</IsAsirAzir>
        <IsPublicationProhibited>false</IsPublicationProhibited>
        <PublicationProhibitedFullName>ניר הראל</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פנחס אליאס</FullName>
        <FirstName>פנחס</FirstName>
        <LastName>אליס</LastName>
        <PartyPropertyName/>
        <AuthenticationTypeAndNumber>ת"ז 075730861</AuthenticationTypeAndNumber>
        <RepresentatedOrRepresentativesNames>ניר הראל</RepresentatedOrRepresentativesNames>
        <RepresentatedOrRepresentativesCount>1</RepresentatedOrRepresentativesCount>
        <InvitedBy/>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249743796</CasePartyID>
        <PartyTypeID>1</PartyTypeID>
        <ActivityStatusID>1</ActivityStatusID>
        <PartyAliasID>2</PartyAliasID>
        <PartyAliasName>נתבע</PartyAliasName>
        <OrdinalNumber>2</OrdinalNumber>
        <LegalEntityID>70626236</LegalEntityID>
        <CaseLegalEntityID>122509540</CaseLegalEntityID>
        <AuthenticationTypeID>1</AuthenticationTypeID>
        <AuthenticationTypeName>ת"ז</AuthenticationTypeName>
        <LegalEntityNumber>075730861</LegalEntityNumber>
        <IsMainPartyType>true</IsMainPartyType>
        <CaseDisplayIdentifier>57213-12-22</CaseDisplayIdentifier>
        <CaseTypeID>15</CaseTypeID>
        <CaseTypeName>תיק משפחה (תמ"ש)</CaseTypeName>
        <CaseName>עטר נ' עטר ואח'</CaseName>
        <FullAddress>תעוז </FullAddress>
        <MotionID>0</MotionID>
        <CasePleaID>0</CasePleaID>
        <FatherName>אליס</FatherName>
        <LinkedCaseID>0</LinkedCaseID>
        <PartyID>2</PartyID>
        <CasePartyCategoryID>2</CasePartyCategoryID>
        <LegalEntityAddressID>87347473</LegalEntityAddressID>
        <PleaTypeID>4</PleaTypeID>
        <GroupPartyAlias>נתבעים</GroupPartyAlias>
        <IsConverted>false</IsConverted>
        <LegalEntityRegisteredNameID>10170634</LegalEntityRegisteredNameID>
        <LegalEntityNameID>94156637</LegalEntityNameID>
        <RepresentatedNamesOfAssistant/>
        <LegalEntityTypeID>1</LegalEntityTypeID>
        <IsVerdictExists>false</IsVerdictExists>
        <IsAsirAzir>false</IsAsirAzir>
        <IsPublicationProhibited>false</IsPublicationProhibited>
        <PublicationProhibitedFullName>פנחס אליאס</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ציפורה אליאס</FullName>
        <FirstName>ציפורה</FirstName>
        <LastName>אליאס</LastName>
        <PartyPropertyName/>
        <AuthenticationTypeAndNumber>ת"ז 075356287</AuthenticationTypeAndNumber>
        <RepresentatedOrRepresentativesNames>ניר הראל</RepresentatedOrRepresentativesNames>
        <RepresentatedOrRepresentativesCount>1</RepresentatedOrRepresentativesCount>
        <InvitedBy/>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249743797</CasePartyID>
        <PartyTypeID>1</PartyTypeID>
        <ActivityStatusID>1</ActivityStatusID>
        <PartyAliasID>2</PartyAliasID>
        <PartyAliasName>נתבע</PartyAliasName>
        <OrdinalNumber>3</OrdinalNumber>
        <LegalEntityID>69560286</LegalEntityID>
        <CaseLegalEntityID>122509541</CaseLegalEntityID>
        <AuthenticationTypeID>1</AuthenticationTypeID>
        <AuthenticationTypeName>ת"ז</AuthenticationTypeName>
        <LegalEntityNumber>075356287</LegalEntityNumber>
        <IsMainPartyType>true</IsMainPartyType>
        <CaseDisplayIdentifier>57213-12-22</CaseDisplayIdentifier>
        <CaseTypeID>15</CaseTypeID>
        <CaseTypeName>תיק משפחה (תמ"ש)</CaseTypeName>
        <CaseName>עטר נ' עטר ואח'</CaseName>
        <FullAddress>תעוז </FullAddress>
        <MotionID>0</MotionID>
        <CasePleaID>0</CasePleaID>
        <LinkedCaseID>0</LinkedCaseID>
        <PartyID>2</PartyID>
        <CasePartyCategoryID>2</CasePartyCategoryID>
        <LegalEntityAddressID>87347474</LegalEntityAddressID>
        <PleaTypeID>4</PleaTypeID>
        <GroupPartyAlias>נתבעים</GroupPartyAlias>
        <IsConverted>false</IsConverted>
        <LegalEntityNameID>94156638</LegalEntityNameID>
        <RepresentatedNamesOfAssistant/>
        <LegalEntityTypeID>1</LegalEntityTypeID>
        <IsVerdictExists>false</IsVerdictExists>
        <IsAsirAzir>false</IsAsirAzir>
        <IsPublicationProhibited>false</IsPublicationProhibited>
        <PublicationProhibitedFullName>ציפורה אליאס</PublicationProhibitedFullName>
      </CaseParties>
    </CasePartiesSelectionDS>
    <DecisionName>החלטה  שניתנה ע"י  ריבי לב אוחיון</DecisionName>
    <CourtDisplayName>בית משפט לענייני משפחה בירושלים</CourtDisplayName>
    <IsCaseJudgePanel>false</IsCaseJudgePanel>
    <DecisionSignatureDate>2023-11-21T12:18:32.2912575+02:00</DecisionSignatureDate>
    <OpenCaseDate>2022-12-27T07:00:00+02:00</OpenCaseDate>
    <CaseFeeSum>0.000</CaseFeeSum>
    <DecisionTypeID>1</DecisionTypeID>
    <DecisionSignatureUserName>ריבי לב אוחיון</DecisionSignatureUserName>
    <DecisionSignatureDateHebrew>2023-11-21T12:18:32.2912575+02:00</DecisionSignatureDateHebrew>
    <DecisionWriterID>034496802@GOV.IL</DecisionWriterID>
    <CourtAddress>רח' בית הדפוס 12, ירושלים 9548316</CourtAddress>
    <IsAutoTextInCaseExist>false</IsAutoTextInCaseExist>
    <DecisionSignatureRoleName>רשם</DecisionSignatureRoleName>
    <DecisionSignatureUserTitleName>רשמת בכירה</DecisionSignatureUserTitleName>
    <CaseName>עטר נ' עטר ואח'</CaseName>
    <DecisionNumberInCase>23</DecisionNumberInCase>
  </dt_Decision>
  <dt_DecisionCase>
    <DecisionID>0</DecisionID>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יהודה ישרים</FullName>
        <FirstName>יהודה</FirstName>
        <LastName>ישרים</LastName>
        <PartyPropertyName/>
        <AuthenticationTypeAndNumber>ת"ז 027354380</AuthenticationTypeAndNumber>
        <RepresentatedOrRepresentativesNames/>
        <RepresentatedOrRepresentativesCount>0</RepresentatedOrRepresentativesCount>
        <InvitedBy/>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253532440</CasePartyID>
        <PartyTypeID>3</PartyTypeID>
        <ActivityStatusID>1</ActivityStatusID>
        <LegalEntityID>79111824</LegalEntityID>
        <CaseLegalEntityID>123684369</CaseLegalEntityID>
        <AssistantRoleID>103</AssistantRoleID>
        <AuthenticationTypeID>1</AuthenticationTypeID>
        <AuthenticationTypeName>ת"ז</AuthenticationTypeName>
        <LegalEntityNumber>027354380</LegalEntityNumber>
        <IsMainPartyType>true</IsMainPartyType>
        <CaseDisplayIdentifier>57213-12-22</CaseDisplayIdentifier>
        <CaseTypeID>15</CaseTypeID>
        <CaseTypeName>תיק משפחה (תמ"ש)</CaseTypeName>
        <CaseName>עטר נ' עטר ואח'</CaseName>
        <FullAddress>עמק האלה 250 מודיעין-מכבים-רעות* מרכז גישור בקהילה</FullAddress>
        <EmailAddress>yesharim1@gmail.com</EmailAddress>
        <MotionID>0</MotionID>
        <CasePleaID>0</CasePleaID>
        <FatherName xml:space="preserve">        </FatherName>
        <LinkedCaseID>0</LinkedCaseID>
        <PartyID>1</PartyID>
        <CasePartyCategoryID>2</CasePartyCategoryID>
        <LegalEntityAddressID>84142114</LegalEntityAddressID>
        <LegalEntityEmailAddressID>68074590</LegalEntityEmailAddressID>
        <PleaTypeID>4</PleaTypeID>
        <GroupPartyAlias/>
        <IsConverted>false</IsConverted>
        <LegalEntityNameID>89948645</LegalEntityNameID>
        <RepresentatedNamesOfAssistant/>
        <LegalEntityTypeID>11</LegalEntityTypeID>
        <IsVerdictExists>false</IsVerdictExists>
        <IsAsirAzir>false</IsAsirAzir>
        <IsPublicationProhibited>false</IsPublicationProhibited>
        <PublicationProhibitedFullName>יהודה ישרים</PublicationProhibitedFullName>
      </CaseParties>
      <CaseParties>
        <PartyTypeName>מסייע</PartyTypeName>
        <ProceedingType>כתב טענות עיקרי</ProceedingType>
        <PleaName>כתב תביעה</PleaName>
        <PartyBelonging> - </PartyBelonging>
        <RoleName>מגשר מהו"ת</RoleName>
        <IsSubProceeding>FALSE</IsSubProceeding>
        <FullName>חפצי קופלה</FullName>
        <FirstName>חפצי</FirstName>
        <LastName>קופלה</LastName>
        <PartyPropertyName/>
        <AuthenticationTypeAndNumber>ת"ז 035873181</AuthenticationTypeAndNumber>
        <RepresentatedOrRepresentativesNames/>
        <RepresentatedOrRepresentativesCount>0</RepresentatedOrRepresentativesCount>
        <InvitedBy/>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253532546</CasePartyID>
        <PartyTypeID>3</PartyTypeID>
        <ActivityStatusID>1</ActivityStatusID>
        <LegalEntityID>79108712</LegalEntityID>
        <CaseLegalEntityID>123684411</CaseLegalEntityID>
        <AssistantRoleID>103</AssistantRoleID>
        <AuthenticationTypeID>1</AuthenticationTypeID>
        <AuthenticationTypeName>ת"ז</AuthenticationTypeName>
        <LegalEntityNumber>035873181</LegalEntityNumber>
        <IsMainPartyType>true</IsMainPartyType>
        <CaseDisplayIdentifier>57213-12-22</CaseDisplayIdentifier>
        <CaseTypeID>15</CaseTypeID>
        <CaseTypeName>תיק משפחה (תמ"ש)</CaseTypeName>
        <CaseName>עטר נ' עטר ואח'</CaseName>
        <FullAddress>עמק האלה 250 מודיעין-מכבים-רעות* </FullAddress>
        <EmailAddress>hfzkopla@gmail.com</EmailAddress>
        <MotionID>0</MotionID>
        <CasePleaID>0</CasePleaID>
        <FatherName xml:space="preserve">        </FatherName>
        <LinkedCaseID>0</LinkedCaseID>
        <PartyID>1</PartyID>
        <CasePartyCategoryID>2</CasePartyCategoryID>
        <LegalEntityAddressID>84137292</LegalEntityAddressID>
        <LegalEntityEmailAddressID>68074317</LegalEntityEmailAddressID>
        <PleaTypeID>4</PleaTypeID>
        <GroupPartyAlias/>
        <IsConverted>false</IsConverted>
        <LegalEntityNameID>89941855</LegalEntityNameID>
        <RepresentatedNamesOfAssistant/>
        <LegalEntityTypeID>11</LegalEntityTypeID>
        <IsVerdictExists>false</IsVerdictExists>
        <IsAsirAzir>false</IsAsirAzir>
        <IsPublicationProhibited>false</IsPublicationProhibited>
        <PublicationProhibitedFullName>חפצי קופלה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 בוטבול</FullName>
        <FirstName>אלי</FirstName>
        <LastName>בוטבול</LastName>
        <PartyPropertyName/>
        <AuthenticationTypeAndNumber>מ.ר. 61063</AuthenticationTypeAndNumber>
        <RepresentatedOrRepresentativesNames>אביעד עטר</RepresentatedOrRepresentativesNames>
        <RepresentatedOrRepresentativesCount>1</RepresentatedOrRepresentativesCount>
        <InvitedBy/>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249743794</CasePartyID>
        <PartyTypeID>2</PartyTypeID>
        <ActivityStatusID>1</ActivityStatusID>
        <PartyAliasID>20</PartyAliasID>
        <PartyAliasName>בא כוח תובעים</PartyAliasName>
        <OrdinalNumber>1</OrdinalNumber>
        <LegalEntityID>71807279</LegalEntityID>
        <CaseLegalEntityID>122509538</CaseLegalEntityID>
        <AuthenticationTypeID>4</AuthenticationTypeID>
        <AuthenticationTypeName>מ.ר.</AuthenticationTypeName>
        <LegalEntityNumber>61063</LegalEntityNumber>
        <IsMainPartyType>true</IsMainPartyType>
        <CaseDisplayIdentifier>57213-12-22</CaseDisplayIdentifier>
        <CaseTypeID>15</CaseTypeID>
        <CaseTypeName>תיק משפחה (תמ"ש)</CaseTypeName>
        <CaseName>עטר נ' עטר ואח'</CaseName>
        <FullAddress>השבעה 2 בית שמש ת.ד. 88</FullAddress>
        <EmailAddress>elib32@walla.com</EmailAddress>
        <MotionID>0</MotionID>
        <CasePleaID>0</CasePleaID>
        <LinkedCaseID>0</LinkedCaseID>
        <PartyID>1</PartyID>
        <CasePartyCategoryID>2</CasePartyCategoryID>
        <LegalEntityAddressID>80320353</LegalEntityAddressID>
        <LegalEntityEmailAddressID>68021099</LegalEntityEmailAddressID>
        <PleaTypeID>4</PleaTypeID>
        <LawyerOfficeName>משרד עו"ד אלי בוטבול</LawyerOfficeName>
        <LawyerOfficeID>71807280</LawyerOfficeID>
        <GroupPartyAlias/>
        <IsConverted>false</IsConverted>
        <LegalEntityNameID>75250660</LegalEntityNameID>
        <RepresentatedNamesOfAssistant/>
        <LegalEntityTypeID>4</LegalEntityTypeID>
        <IsVerdictExists>false</IsVerdictExists>
        <IsAsirAzir>false</IsAsirAzir>
        <IsPublicationProhibited>false</IsPublicationProhibited>
        <PublicationProhibitedFullName>אלי בוטבול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אביעד עטר</FullName>
        <FirstName>אביעד</FirstName>
        <LastName>עטר</LastName>
        <PartyPropertyName/>
        <AuthenticationTypeAndNumber>ת"ז 026622258</AuthenticationTypeAndNumber>
        <RepresentatedOrRepresentativesNames>אלי בוטבול</RepresentatedOrRepresentativesNames>
        <RepresentatedOrRepresentativesCount>1</RepresentatedOrRepresentativesCount>
        <InvitedBy/>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249743793</CasePartyID>
        <PartyTypeID>1</PartyTypeID>
        <ActivityStatusID>1</ActivityStatusID>
        <PartyAliasID>1</PartyAliasID>
        <PartyAliasName>תובע</PartyAliasName>
        <OrdinalNumber>1</OrdinalNumber>
        <LegalEntityID>75588607</LegalEntityID>
        <CaseLegalEntityID>122509537</CaseLegalEntityID>
        <AuthenticationTypeID>1</AuthenticationTypeID>
        <AuthenticationTypeName>ת"ז</AuthenticationTypeName>
        <LegalEntityNumber>026622258</LegalEntityNumber>
        <IsMainPartyType>true</IsMainPartyType>
        <CaseDisplayIdentifier>57213-12-22</CaseDisplayIdentifier>
        <CaseTypeID>15</CaseTypeID>
        <CaseTypeName>תיק משפחה (תמ"ש)</CaseTypeName>
        <CaseName>עטר נ' עטר ואח'</CaseName>
        <FullAddress>תעוז </FullAddress>
        <MotionID>0</MotionID>
        <CasePleaID>0</CasePleaID>
        <FatherName>מאיר</FatherName>
        <LinkedCaseID>0</LinkedCaseID>
        <PartyID>1</PartyID>
        <CasePartyCategoryID>2</CasePartyCategoryID>
        <LegalEntityAddressID>87347471</LegalEntityAddressID>
        <PleaTypeID>4</PleaTypeID>
        <GroupPartyAlias>תובעים</GroupPartyAlias>
        <IsConverted>false</IsConverted>
        <LegalEntityRegisteredNameID>9862323</LegalEntityRegisteredNameID>
        <LegalEntityNameID>94156635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אביעד עטר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חנה עטר</FullName>
        <FirstName>חנה</FirstName>
        <LastName>עטר</LastName>
        <PartyPropertyName/>
        <AuthenticationTypeAndNumber>ת"ז 061274296</AuthenticationTypeAndNumber>
        <RepresentatedOrRepresentativesNames>ניר הראל</RepresentatedOrRepresentativesNames>
        <RepresentatedOrRepresentativesCount>1</RepresentatedOrRepresentativesCount>
        <InvitedBy/>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249743795</CasePartyID>
        <PartyTypeID>1</PartyTypeID>
        <ActivityStatusID>1</ActivityStatusID>
        <PartyAliasID>2</PartyAliasID>
        <PartyAliasName>נתבע</PartyAliasName>
        <OrdinalNumber>1</OrdinalNumber>
        <LegalEntityID>80399145</LegalEntityID>
        <CaseLegalEntityID>122509539</CaseLegalEntityID>
        <AuthenticationTypeID>1</AuthenticationTypeID>
        <AuthenticationTypeName>ת"ז</AuthenticationTypeName>
        <LegalEntityNumber>061274296</LegalEntityNumber>
        <IsMainPartyType>true</IsMainPartyType>
        <CaseDisplayIdentifier>57213-12-22</CaseDisplayIdentifier>
        <CaseTypeID>15</CaseTypeID>
        <CaseTypeName>תיק משפחה (תמ"ש)</CaseTypeName>
        <CaseName>עטר נ' עטר ואח'</CaseName>
        <FullAddress>תעוז </FullAddress>
        <MotionID>0</MotionID>
        <CasePleaID>0</CasePleaID>
        <FatherName>פנחס</FatherName>
        <LinkedCaseID>0</LinkedCaseID>
        <PartyID>2</PartyID>
        <CasePartyCategoryID>2</CasePartyCategoryID>
        <LegalEntityAddressID>87347472</LegalEntityAddressID>
        <PleaTypeID>4</PleaTypeID>
        <GroupPartyAlias>נתבעים</GroupPartyAlias>
        <IsConverted>false</IsConverted>
        <LegalEntityRegisteredNameID>9862324</LegalEntityRegisteredNameID>
        <LegalEntityNameID>94156636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חנה עטר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ניר הראל</FullName>
        <FirstName>ניר</FirstName>
        <LastName>הראל</LastName>
        <PartyPropertyName/>
        <AuthenticationTypeAndNumber>מ.ר. 32979</AuthenticationTypeAndNumber>
        <RepresentatedOrRepresentativesNames>פנחס אליאס, ציפורה אליאס, חנה עטר</RepresentatedOrRepresentativesNames>
        <RepresentatedOrRepresentativesCount>3</RepresentatedOrRepresentativesCount>
        <InvitedBy/>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250511382</CasePartyID>
        <PartyTypeID>2</PartyTypeID>
        <ActivityStatusID>1</ActivityStatusID>
        <PartyAliasID>21</PartyAliasID>
        <PartyAliasName>בא כוח נתבעים</PartyAliasName>
        <OrdinalNumber>1</OrdinalNumber>
        <LegalEntityID>410798</LegalEntityID>
        <CaseLegalEntityID>122746564</CaseLegalEntityID>
        <AuthenticationTypeID>4</AuthenticationTypeID>
        <AuthenticationTypeName>מ.ר.</AuthenticationTypeName>
        <LegalEntityNumber>32979</LegalEntityNumber>
        <IsMainPartyType>true</IsMainPartyType>
        <CaseDisplayIdentifier>57213-12-22</CaseDisplayIdentifier>
        <CaseTypeID>15</CaseTypeID>
        <CaseTypeName>תיק משפחה (תמ"ש)</CaseTypeName>
        <CaseName>עטר נ' עטר ואח'</CaseName>
        <FullAddress>מנחם בגין 52 תל אביב -יפו קומה 4</FullAddress>
        <EmailAddress>nir@nrl.co.il</EmailAddress>
        <MotionID>0</MotionID>
        <CasePleaID>0</CasePleaID>
        <LinkedCaseID>0</LinkedCaseID>
        <PartyID>2</PartyID>
        <CasePartyCategoryID>2</CasePartyCategoryID>
        <LegalEntityAddressID>82401840</LegalEntityAddressID>
        <LegalEntityEmailAddressID>19820188</LegalEntityEmailAddressID>
        <PleaTypeID>4</PleaTypeID>
        <LawyerOfficeName>משרד עו"ד: ניר הראל</LawyerOfficeName>
        <LawyerOfficeID>451442</LawyerOfficeID>
        <GroupPartyAlias/>
        <IsConverted>false</IsConverted>
        <LegalEntityNameID>31782</LegalEntityNameID>
        <RepresentatedNamesOfAssistant/>
        <LegalEntityTypeID>4</LegalEntityTypeID>
        <IsVerdictExists>false</IsVerdictExists>
        <IsAsirAzir>false</IsAsirAzir>
        <IsPublicationProhibited>false</IsPublicationProhibited>
        <PublicationProhibitedFullName>ניר הראל</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פנחס אליאס</FullName>
        <FirstName>פנחס</FirstName>
        <LastName>אליס</LastName>
        <PartyPropertyName/>
        <AuthenticationTypeAndNumber>ת"ז 075730861</AuthenticationTypeAndNumber>
        <RepresentatedOrRepresentativesNames>ניר הראל</RepresentatedOrRepresentativesNames>
        <RepresentatedOrRepresentativesCount>1</RepresentatedOrRepresentativesCount>
        <InvitedBy/>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249743796</CasePartyID>
        <PartyTypeID>1</PartyTypeID>
        <ActivityStatusID>1</ActivityStatusID>
        <PartyAliasID>2</PartyAliasID>
        <PartyAliasName>נתבע</PartyAliasName>
        <OrdinalNumber>2</OrdinalNumber>
        <LegalEntityID>70626236</LegalEntityID>
        <CaseLegalEntityID>122509540</CaseLegalEntityID>
        <AuthenticationTypeID>1</AuthenticationTypeID>
        <AuthenticationTypeName>ת"ז</AuthenticationTypeName>
        <LegalEntityNumber>075730861</LegalEntityNumber>
        <IsMainPartyType>true</IsMainPartyType>
        <CaseDisplayIdentifier>57213-12-22</CaseDisplayIdentifier>
        <CaseTypeID>15</CaseTypeID>
        <CaseTypeName>תיק משפחה (תמ"ש)</CaseTypeName>
        <CaseName>עטר נ' עטר ואח'</CaseName>
        <FullAddress>תעוז </FullAddress>
        <MotionID>0</MotionID>
        <CasePleaID>0</CasePleaID>
        <FatherName>אליס</FatherName>
        <LinkedCaseID>0</LinkedCaseID>
        <PartyID>2</PartyID>
        <CasePartyCategoryID>2</CasePartyCategoryID>
        <LegalEntityAddressID>87347473</LegalEntityAddressID>
        <PleaTypeID>4</PleaTypeID>
        <GroupPartyAlias>נתבעים</GroupPartyAlias>
        <IsConverted>false</IsConverted>
        <LegalEntityRegisteredNameID>10170634</LegalEntityRegisteredNameID>
        <LegalEntityNameID>94156637</LegalEntityNameID>
        <RepresentatedNamesOfAssistant/>
        <LegalEntityTypeID>1</LegalEntityTypeID>
        <IsVerdictExists>false</IsVerdictExists>
        <IsAsirAzir>false</IsAsirAzir>
        <IsPublicationProhibited>false</IsPublicationProhibited>
        <PublicationProhibitedFullName>פנחס אליאס</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ציפורה אליאס</FullName>
        <FirstName>ציפורה</FirstName>
        <LastName>אליאס</LastName>
        <PartyPropertyName/>
        <AuthenticationTypeAndNumber>ת"ז 075356287</AuthenticationTypeAndNumber>
        <RepresentatedOrRepresentativesNames>ניר הראל</RepresentatedOrRepresentativesNames>
        <RepresentatedOrRepresentativesCount>1</RepresentatedOrRepresentativesCount>
        <InvitedBy/>
        <CaseID>79859174</CaseID>
        <CaseJudicialPersonPresentationDS>
          <CaseJudicalPersonActive>
            <CaseID>79859174</CaseID>
            <JudicialPersonID>016438699@GOV.IL</JudicialPersonID>
            <JudicialPersonTypeID>1</JudicialPersonTypeID>
            <JudicialTypeID>1</JudicialTypeID>
            <IsChairman>false</IsChairman>
            <TreatmentStartDate>2022-12-27T08:39:40.333+02:00</TreatmentStartDate>
            <TreatmentFinishDate>9999-12-31T23:59:59+02:00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249743797</CasePartyID>
        <PartyTypeID>1</PartyTypeID>
        <ActivityStatusID>1</ActivityStatusID>
        <PartyAliasID>2</PartyAliasID>
        <PartyAliasName>נתבע</PartyAliasName>
        <OrdinalNumber>3</OrdinalNumber>
        <LegalEntityID>69560286</LegalEntityID>
        <CaseLegalEntityID>122509541</CaseLegalEntityID>
        <AuthenticationTypeID>1</AuthenticationTypeID>
        <AuthenticationTypeName>ת"ז</AuthenticationTypeName>
        <LegalEntityNumber>075356287</LegalEntityNumber>
        <IsMainPartyType>true</IsMainPartyType>
        <CaseDisplayIdentifier>57213-12-22</CaseDisplayIdentifier>
        <CaseTypeID>15</CaseTypeID>
        <CaseTypeName>תיק משפחה (תמ"ש)</CaseTypeName>
        <CaseName>עטר נ' עטר ואח'</CaseName>
        <FullAddress>תעוז </FullAddress>
        <MotionID>0</MotionID>
        <CasePleaID>0</CasePleaID>
        <LinkedCaseID>0</LinkedCaseID>
        <PartyID>2</PartyID>
        <CasePartyCategoryID>2</CasePartyCategoryID>
        <LegalEntityAddressID>87347474</LegalEntityAddressID>
        <PleaTypeID>4</PleaTypeID>
        <GroupPartyAlias>נתבעים</GroupPartyAlias>
        <IsConverted>false</IsConverted>
        <LegalEntityNameID>94156638</LegalEntityNameID>
        <RepresentatedNamesOfAssistant/>
        <LegalEntityTypeID>1</LegalEntityTypeID>
        <IsVerdictExists>false</IsVerdictExists>
        <IsAsirAzir>false</IsAsirAzir>
        <IsPublicationProhibited>false</IsPublicationProhibited>
        <PublicationProhibitedFullName>ציפורה אליאס</PublicationProhibitedFullName>
      </CaseParties>
    </CasePartiesSelectionDS>
    <CaseName>עטר נ' עטר ואח'</CaseName>
    <CaseDisplayIdentifier>57213-12-22</CaseDisplayIdentifier>
    <CaseInterestID>10115</CaseInterestID>
    <CaseTypeShortName>תמ"ש</CaseTypeShortName>
  </dt_DecisionCase>
  <dt_DecisionJudgePanel>
    <JudgeID>034496802@GOV.IL</JudgeID>
    <DisplayName>ריבי לב אוחיון</DisplayName>
    <RoleName>רשם</RoleName>
    <UserTitleName>רשמת בכירה</UserTitleName>
  </dt_DecisionJudgePanel>
  <dt_LegalEntityDetails>
    <Fax/>
    <Phone>052-6691574</Phone>
    <AddressDesc>מרכז גישור בקהילה</AddressDesc>
    <PartyID>1</PartyID>
    <PartyTypeID>3</PartyTypeID>
    <DecisionID>0</DecisionID>
    <AssistantRoleID>103</AssistantRoleID>
    <StreetName>עמק האלה 250</StreetName>
    <CityName>מודיעין-מכבים-רעות*</CityName>
    <FullName>יהודה  ישרים </FullName>
    <Email>yesharim1@gmail.com</Email>
    <IsPublicationProhibited>false</IsPublicationProhibited>
  </dt_LegalEntityDetails>
  <dt_LegalEntityDetails>
    <Fax/>
    <Phone/>
    <AddressDesc/>
    <PartyID>1</PartyID>
    <PartyTypeID>3</PartyTypeID>
    <DecisionID>0</DecisionID>
    <AssistantRoleID>103</AssistantRoleID>
    <StreetName>עמק האלה 250 </StreetName>
    <CityName>מודיעין-מכבים-רעות*</CityName>
    <FullName>חפצי  קופלה</FullName>
    <Email>hfzkopla@gmail.com</Email>
    <IsPublicationProhibited>false</IsPublicationProhibited>
  </dt_LegalEntityDetails>
  <dt_LegalEntityDetails>
    <PartyID>1</PartyID>
    <PartyTypeID>1</PartyTypeID>
    <DecisionID>0</DecisionID>
    <CityName>תעוז</CityName>
    <FullName>אביעד עטר</FullName>
    <IsPublicationProhibited>false</IsPublicationProhibited>
  </dt_LegalEntityDetails>
  <dt_LegalEntityDetails>
    <Fax>02-5870002</Fax>
    <Phone>02-5870001</Phone>
    <AddressDesc>ת.ד. 88</AddressDesc>
    <PartyID>1</PartyID>
    <PartyTypeID>2</PartyTypeID>
    <DecisionID>0</DecisionID>
    <StreetName>השבעה 2</StreetName>
    <CityName>בית שמש</CityName>
    <FullName>אלי בוטבול</FullName>
    <Email>elib32@walla.com</Email>
    <IsPublicationProhibited>false</IsPublicationProhibited>
  </dt_LegalEntityDetails>
  <dt_LegalEntityDetails>
    <PartyID>2</PartyID>
    <PartyTypeID>1</PartyTypeID>
    <DecisionID>0</DecisionID>
    <CityName>תעוז</CityName>
    <FullName>חנה עטר</FullName>
    <IsPublicationProhibited>false</IsPublicationProhibited>
  </dt_LegalEntityDetails>
  <dt_LegalEntityDetails>
    <Fax>03-5661117</Fax>
    <Phone>03-5661113</Phone>
    <AddressDesc>קומה 4</AddressDesc>
    <PartyID>2</PartyID>
    <PartyTypeID>2</PartyTypeID>
    <DecisionID>0</DecisionID>
    <StreetName>מנחם בגין 52 </StreetName>
    <CityName>תל אביב -יפו</CityName>
    <FullName>ניר הראל</FullName>
    <Email>nir@nrl.co.il</Email>
    <IsPublicationProhibited>false</IsPublicationProhibited>
  </dt_LegalEntityDetails>
  <dt_LegalEntityDetails>
    <PartyID>2</PartyID>
    <PartyTypeID>1</PartyTypeID>
    <DecisionID>0</DecisionID>
    <CityName>תעוז</CityName>
    <FullName>פנחס אליאס</FullName>
    <IsPublicationProhibited>false</IsPublicationProhibited>
  </dt_LegalEntityDetails>
  <dt_LegalEntityDetails>
    <PartyID>2</PartyID>
    <PartyTypeID>1</PartyTypeID>
    <DecisionID>0</DecisionID>
    <CityName>תעוז</CityName>
    <FullName>ציפורה אליאס</FullName>
    <IsPublicationProhibited>false</IsPublicationProhibited>
  </dt_LegalEntityDetails>
  <dt_CaseJudicalPersonActive>
    <CaseJudicalPerson>שופטת אורית אביגיל יהלומי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9E175-26E4-4D7D-9F28-89EFA8F70C9C}">
  <ds:schemaRefs/>
</ds:datastoreItem>
</file>

<file path=customXml/itemProps2.xml><?xml version="1.0" encoding="utf-8"?>
<ds:datastoreItem xmlns:ds="http://schemas.openxmlformats.org/officeDocument/2006/customXml" ds:itemID="{A7517E1D-8EBB-4538-AB5D-1EC98B30B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2594</Words>
  <Characters>11696</Characters>
  <Application>Microsoft Office Word</Application>
  <DocSecurity>0</DocSecurity>
  <Lines>321</Lines>
  <Paragraphs>90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2023-12-24T08:52:00Z</dcterms:created>
  <dcterms:modified xsi:type="dcterms:W3CDTF">2023-12-24T08:52:00Z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867930ca043450a280b1df7627dca13b24c605ec030187412fe9aae857bd1a12</vt:lpwstr>
  </property>
</Properties>
</file>